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附件2</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b w:val="0"/>
          <w:bCs w:val="0"/>
          <w:sz w:val="44"/>
          <w:szCs w:val="44"/>
          <w:highlight w:val="none"/>
          <w:lang w:val="en-US" w:eastAsia="zh-CN"/>
        </w:rPr>
      </w:pPr>
      <w:r>
        <w:rPr>
          <w:rFonts w:hint="default" w:ascii="Times New Roman" w:hAnsi="Times New Roman" w:eastAsia="方正小标宋_GBK" w:cs="Times New Roman"/>
          <w:b w:val="0"/>
          <w:bCs w:val="0"/>
          <w:sz w:val="44"/>
          <w:szCs w:val="44"/>
          <w:highlight w:val="none"/>
          <w:lang w:val="en-US" w:eastAsia="zh-CN"/>
        </w:rPr>
        <w:t>起草说明</w:t>
      </w:r>
    </w:p>
    <w:p>
      <w:pPr>
        <w:pStyle w:val="3"/>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eastAsia="zh-CN"/>
        </w:rPr>
        <w:t>起草</w:t>
      </w:r>
      <w:r>
        <w:rPr>
          <w:rFonts w:hint="default" w:ascii="Times New Roman" w:hAnsi="Times New Roman" w:eastAsia="黑体" w:cs="Times New Roman"/>
          <w:sz w:val="32"/>
          <w:szCs w:val="32"/>
        </w:rPr>
        <w:t>背景</w:t>
      </w:r>
      <w:r>
        <w:rPr>
          <w:rFonts w:hint="default" w:ascii="Times New Roman" w:hAnsi="Times New Roman" w:eastAsia="黑体" w:cs="Times New Roman"/>
          <w:sz w:val="32"/>
          <w:szCs w:val="32"/>
          <w:lang w:eastAsia="zh-CN"/>
        </w:rPr>
        <w:t>、依据及目的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随着农村集体产权制度改革和乡村全面振兴的深入实施，我市农村集体经济形态与内涵不断丰富，但在实践中仍面临管理机制有待完善、资源资产盘活渠道不畅、专业化运营能力与人才支撑不足等困境。同时，作为全国第四批农村集体产权制度改革试点，我市自</w:t>
      </w:r>
      <w:r>
        <w:rPr>
          <w:rFonts w:hint="default" w:ascii="Times New Roman" w:hAnsi="Times New Roman" w:eastAsia="方正仿宋_GBK" w:cs="Times New Roman"/>
          <w:kern w:val="2"/>
          <w:sz w:val="32"/>
          <w:szCs w:val="32"/>
          <w:lang w:val="en-US" w:eastAsia="zh-CN" w:bidi="ar-SA"/>
        </w:rPr>
        <w:t>2019</w:t>
      </w:r>
      <w:r>
        <w:rPr>
          <w:rFonts w:hint="default" w:ascii="Times New Roman" w:hAnsi="Times New Roman" w:eastAsia="仿宋_GB2312" w:cs="Times New Roman"/>
          <w:b w:val="0"/>
          <w:bCs w:val="0"/>
          <w:color w:val="auto"/>
          <w:sz w:val="32"/>
          <w:szCs w:val="32"/>
          <w:lang w:val="en-US" w:eastAsia="zh-CN"/>
        </w:rPr>
        <w:t>年启动试点以来，已先后出台财务监督管理、收益分配指导等一系列政策文件，对农村集体经济管理进行初步规范。然而，现有规范多停留于政策层面，且侧重于管理约束，在促进发展方面缺乏系统、有力且具有法律约束力的制度安排，难以满足新形势下对农村集体经济促进发展与管理规范的双重法治需求。为破解当前发展难题，填补地方立法空白，扎实推进乡村全面振兴，</w:t>
      </w:r>
      <w:r>
        <w:rPr>
          <w:rFonts w:hint="default" w:ascii="Times New Roman" w:hAnsi="Times New Roman" w:eastAsia="仿宋_GB2312" w:cs="Times New Roman"/>
          <w:b w:val="0"/>
          <w:bCs w:val="0"/>
          <w:color w:val="auto"/>
          <w:sz w:val="32"/>
          <w:szCs w:val="32"/>
          <w:lang w:eastAsia="zh-CN"/>
        </w:rPr>
        <w:t>市人大常委会</w:t>
      </w:r>
      <w:r>
        <w:rPr>
          <w:rFonts w:hint="default" w:ascii="Times New Roman" w:hAnsi="Times New Roman" w:eastAsia="仿宋_GB2312" w:cs="Times New Roman"/>
          <w:b w:val="0"/>
          <w:bCs w:val="0"/>
          <w:color w:val="auto"/>
          <w:sz w:val="32"/>
          <w:szCs w:val="32"/>
          <w:lang w:val="en-US" w:eastAsia="zh-CN"/>
        </w:rPr>
        <w:t>将</w:t>
      </w:r>
      <w:r>
        <w:rPr>
          <w:rFonts w:hint="default" w:ascii="Times New Roman" w:hAnsi="Times New Roman" w:eastAsia="仿宋_GB2312" w:cs="Times New Roman"/>
          <w:b w:val="0"/>
          <w:bCs w:val="0"/>
          <w:color w:val="auto"/>
          <w:sz w:val="32"/>
          <w:szCs w:val="32"/>
          <w:lang w:eastAsia="zh-CN"/>
        </w:rPr>
        <w:t>《三亚市农村集体经济促进和管理条例》</w:t>
      </w:r>
      <w:r>
        <w:rPr>
          <w:rFonts w:hint="default" w:ascii="Times New Roman" w:hAnsi="Times New Roman" w:eastAsia="仿宋_GB2312" w:cs="Times New Roman"/>
          <w:b w:val="0"/>
          <w:bCs w:val="0"/>
          <w:color w:val="auto"/>
          <w:sz w:val="32"/>
          <w:szCs w:val="32"/>
          <w:lang w:val="en-US" w:eastAsia="zh-CN"/>
        </w:rPr>
        <w:t>列</w:t>
      </w:r>
      <w:r>
        <w:rPr>
          <w:rFonts w:hint="default" w:ascii="Times New Roman" w:hAnsi="Times New Roman" w:eastAsia="仿宋_GB2312" w:cs="Times New Roman"/>
          <w:b w:val="0"/>
          <w:bCs w:val="0"/>
          <w:color w:val="auto"/>
          <w:sz w:val="32"/>
          <w:szCs w:val="32"/>
          <w:lang w:eastAsia="zh-CN"/>
        </w:rPr>
        <w:t>入</w:t>
      </w:r>
      <w:r>
        <w:rPr>
          <w:rFonts w:hint="default" w:ascii="Times New Roman" w:hAnsi="Times New Roman" w:eastAsia="方正仿宋_GBK" w:cs="Times New Roman"/>
          <w:kern w:val="2"/>
          <w:sz w:val="32"/>
          <w:szCs w:val="32"/>
          <w:lang w:val="en-US" w:eastAsia="zh-CN" w:bidi="ar-SA"/>
        </w:rPr>
        <w:t>2026</w:t>
      </w:r>
      <w:r>
        <w:rPr>
          <w:rFonts w:hint="default" w:ascii="Times New Roman" w:hAnsi="Times New Roman" w:eastAsia="仿宋_GB2312" w:cs="Times New Roman"/>
          <w:b w:val="0"/>
          <w:bCs w:val="0"/>
          <w:color w:val="auto"/>
          <w:sz w:val="32"/>
          <w:szCs w:val="32"/>
          <w:lang w:val="en-US" w:eastAsia="zh-CN"/>
        </w:rPr>
        <w:t>年立法工作计划。</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二、起草过程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color w:val="000000"/>
          <w:kern w:val="0"/>
          <w:sz w:val="32"/>
          <w:szCs w:val="32"/>
          <w:shd w:val="clear" w:color="auto" w:fill="FFFFFF"/>
          <w:lang w:val="en-US" w:eastAsia="zh-CN" w:bidi="ar"/>
        </w:rPr>
        <w:t>市农业农村局</w:t>
      </w:r>
      <w:r>
        <w:rPr>
          <w:rFonts w:hint="default" w:ascii="Times New Roman" w:hAnsi="Times New Roman" w:eastAsia="仿宋_GB2312" w:cs="Times New Roman"/>
          <w:b w:val="0"/>
          <w:kern w:val="2"/>
          <w:sz w:val="32"/>
          <w:szCs w:val="32"/>
          <w:lang w:val="en-US" w:eastAsia="zh-CN" w:bidi="ar-SA"/>
        </w:rPr>
        <w:t>依据</w:t>
      </w:r>
      <w:r>
        <w:rPr>
          <w:rFonts w:hint="default" w:ascii="Times New Roman" w:hAnsi="Times New Roman" w:eastAsia="仿宋_GB2312" w:cs="Times New Roman"/>
          <w:b w:val="0"/>
          <w:bCs w:val="0"/>
          <w:color w:val="auto"/>
          <w:sz w:val="32"/>
          <w:szCs w:val="32"/>
          <w:lang w:eastAsia="zh-CN"/>
        </w:rPr>
        <w:t>《中华人民共和国乡村振兴促进法》《中华人民共和国农村集体经济组织法》等法律法规</w:t>
      </w:r>
      <w:r>
        <w:rPr>
          <w:rFonts w:hint="default" w:ascii="Times New Roman" w:hAnsi="Times New Roman" w:eastAsia="仿宋_GB2312" w:cs="Times New Roman"/>
          <w:b w:val="0"/>
          <w:kern w:val="2"/>
          <w:sz w:val="32"/>
          <w:szCs w:val="32"/>
          <w:lang w:val="en-US" w:eastAsia="zh-CN" w:bidi="ar-SA"/>
        </w:rPr>
        <w:t>和政策文件，借鉴广东、湘西、无锡等地先进立法经验，</w:t>
      </w:r>
      <w:r>
        <w:rPr>
          <w:rFonts w:hint="default" w:ascii="Times New Roman" w:hAnsi="Times New Roman" w:eastAsia="仿宋_GB2312" w:cs="Times New Roman"/>
          <w:color w:val="000000"/>
          <w:kern w:val="0"/>
          <w:sz w:val="32"/>
          <w:szCs w:val="32"/>
          <w:shd w:val="clear" w:color="auto" w:fill="FFFFFF"/>
          <w:lang w:val="en-US" w:eastAsia="zh-CN" w:bidi="ar"/>
        </w:rPr>
        <w:t>并按规定履行实地调研、座谈论证、公开征集意见、公平竞争审查、制度廉洁性评估等起</w:t>
      </w:r>
      <w:r>
        <w:rPr>
          <w:rFonts w:hint="default" w:ascii="Times New Roman" w:hAnsi="Times New Roman" w:eastAsia="仿宋_GB2312" w:cs="Times New Roman"/>
          <w:color w:val="000000"/>
          <w:kern w:val="0"/>
          <w:sz w:val="32"/>
          <w:szCs w:val="32"/>
          <w:shd w:val="clear" w:color="auto" w:fill="FFFFFF"/>
          <w:lang w:val="en-US" w:eastAsia="zh-CN" w:bidi="ar"/>
        </w:rPr>
        <w:t>草程序，于2026年4月21日将《</w:t>
      </w:r>
      <w:r>
        <w:rPr>
          <w:rFonts w:hint="default" w:ascii="Times New Roman" w:hAnsi="Times New Roman" w:eastAsia="仿宋_GB2312" w:cs="Times New Roman"/>
          <w:color w:val="000000"/>
          <w:kern w:val="0"/>
          <w:sz w:val="32"/>
          <w:szCs w:val="32"/>
          <w:shd w:val="clear" w:color="auto" w:fill="FFFFFF"/>
          <w:lang w:val="en" w:eastAsia="zh-CN" w:bidi="ar"/>
        </w:rPr>
        <w:t>三亚市农村集体经济促进和管</w:t>
      </w:r>
      <w:r>
        <w:rPr>
          <w:rFonts w:hint="default" w:ascii="Times New Roman" w:hAnsi="Times New Roman" w:eastAsia="仿宋_GB2312" w:cs="Times New Roman"/>
          <w:b w:val="0"/>
          <w:bCs w:val="0"/>
          <w:color w:val="auto"/>
          <w:sz w:val="32"/>
          <w:szCs w:val="32"/>
          <w:lang w:eastAsia="zh-CN"/>
        </w:rPr>
        <w:t>理条例（草案送审稿）</w:t>
      </w:r>
      <w:r>
        <w:rPr>
          <w:rFonts w:hint="default" w:ascii="Times New Roman" w:hAnsi="Times New Roman" w:eastAsia="仿宋_GB2312" w:cs="Times New Roman"/>
          <w:b w:val="0"/>
          <w:kern w:val="2"/>
          <w:sz w:val="32"/>
          <w:szCs w:val="32"/>
          <w:lang w:val="en-US" w:eastAsia="zh-CN" w:bidi="ar-SA"/>
        </w:rPr>
        <w:t>》提交市司法局审查修改。</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color w:val="000000"/>
          <w:kern w:val="0"/>
          <w:sz w:val="32"/>
          <w:szCs w:val="32"/>
          <w:shd w:val="clear" w:color="auto" w:fill="FFFFFF"/>
          <w:lang w:val="en-US" w:eastAsia="zh-CN" w:bidi="ar"/>
        </w:rPr>
        <w:t>市司法局收到草案送审稿及相关立法材料后，从合法性、合理性、规范性和实操性等方面开展审查，于</w:t>
      </w:r>
      <w:r>
        <w:rPr>
          <w:rFonts w:hint="default" w:ascii="Times New Roman" w:hAnsi="Times New Roman" w:eastAsia="方正仿宋_GBK" w:cs="Times New Roman"/>
          <w:kern w:val="2"/>
          <w:sz w:val="32"/>
          <w:szCs w:val="32"/>
          <w:lang w:val="en-US" w:eastAsia="zh-CN" w:bidi="ar-SA"/>
        </w:rPr>
        <w:t>2026年6月1日</w:t>
      </w:r>
      <w:r>
        <w:rPr>
          <w:rFonts w:hint="default" w:ascii="Times New Roman" w:hAnsi="Times New Roman" w:eastAsia="仿宋_GB2312" w:cs="Times New Roman"/>
          <w:color w:val="000000"/>
          <w:kern w:val="0"/>
          <w:sz w:val="32"/>
          <w:szCs w:val="32"/>
          <w:shd w:val="clear" w:color="auto" w:fill="FFFFFF"/>
          <w:lang w:val="en-US" w:eastAsia="zh-CN" w:bidi="ar"/>
        </w:rPr>
        <w:t>修改形成了《三亚市农村集体经济促进和管理条例（草案）》。</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color w:val="000000"/>
          <w:kern w:val="0"/>
          <w:sz w:val="32"/>
          <w:szCs w:val="32"/>
          <w:shd w:val="clear" w:color="auto" w:fill="FFFFFF"/>
          <w:lang w:val="en" w:eastAsia="zh-CN" w:bidi="ar"/>
        </w:rPr>
        <w:t>202</w:t>
      </w:r>
      <w:r>
        <w:rPr>
          <w:rFonts w:hint="default" w:ascii="Times New Roman" w:hAnsi="Times New Roman" w:eastAsia="仿宋_GB2312" w:cs="Times New Roman"/>
          <w:color w:val="000000"/>
          <w:kern w:val="0"/>
          <w:sz w:val="32"/>
          <w:szCs w:val="32"/>
          <w:shd w:val="clear" w:color="auto" w:fill="FFFFFF"/>
          <w:lang w:val="en-US" w:eastAsia="zh-CN" w:bidi="ar"/>
        </w:rPr>
        <w:t xml:space="preserve">6年6月17日，草案经市政府专题会议审议通过；2026年8月18日，经八届市政府第97次常务会议审议通过。  </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主要内容</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sz w:val="32"/>
          <w:szCs w:val="32"/>
          <w:u w:val="none"/>
          <w:lang w:val="en-US" w:eastAsia="zh-CN"/>
        </w:rPr>
      </w:pPr>
      <w:r>
        <w:rPr>
          <w:rFonts w:hint="default" w:ascii="Times New Roman" w:hAnsi="Times New Roman" w:cs="Times New Roman"/>
          <w:color w:val="0C0C0C"/>
          <w:sz w:val="32"/>
          <w:szCs w:val="32"/>
          <w:u w:val="none"/>
          <w:lang w:val="en-US" w:eastAsia="zh-CN"/>
        </w:rPr>
        <w:t>草案共三十一条，主要内容分为四个部分：</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lang w:val="en-US" w:eastAsia="zh-CN"/>
        </w:rPr>
      </w:pPr>
      <w:r>
        <w:rPr>
          <w:rFonts w:hint="default" w:ascii="Times New Roman" w:hAnsi="Times New Roman" w:eastAsia="楷体_GB2312" w:cs="Times New Roman"/>
          <w:color w:val="0C0C0C"/>
          <w:sz w:val="32"/>
          <w:szCs w:val="32"/>
          <w:u w:val="none"/>
          <w:lang w:val="en-US" w:eastAsia="zh-CN"/>
        </w:rPr>
        <w:t>（一）明确总则要求</w:t>
      </w:r>
      <w:r>
        <w:rPr>
          <w:rFonts w:hint="default" w:ascii="Times New Roman" w:hAnsi="Times New Roman" w:eastAsia="仿宋_GB2312" w:cs="Times New Roman"/>
          <w:color w:val="0C0C0C"/>
          <w:sz w:val="32"/>
          <w:szCs w:val="32"/>
          <w:u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sz w:val="32"/>
          <w:szCs w:val="32"/>
          <w:u w:val="none"/>
          <w:lang w:val="en-US" w:eastAsia="zh-CN"/>
        </w:rPr>
      </w:pPr>
      <w:r>
        <w:rPr>
          <w:rFonts w:hint="default" w:ascii="Times New Roman" w:hAnsi="Times New Roman" w:eastAsia="仿宋_GB2312" w:cs="Times New Roman"/>
          <w:color w:val="0C0C0C"/>
          <w:sz w:val="32"/>
          <w:szCs w:val="32"/>
          <w:u w:val="none"/>
          <w:lang w:val="en-US" w:eastAsia="zh-CN"/>
        </w:rPr>
        <w:t>草案第一条至第六条明确立法目的和根据、适用范围和定义、工作原则、管理体制和部门职责、激励机制，为全市农村集体经济促进和管理工作提供总体框架和基本遵循。</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lang w:val="en-US" w:eastAsia="zh-CN"/>
        </w:rPr>
      </w:pPr>
      <w:r>
        <w:rPr>
          <w:rFonts w:hint="default" w:ascii="Times New Roman" w:hAnsi="Times New Roman" w:eastAsia="楷体_GB2312" w:cs="Times New Roman"/>
          <w:color w:val="0C0C0C"/>
          <w:sz w:val="32"/>
          <w:szCs w:val="32"/>
          <w:u w:val="none"/>
          <w:lang w:val="en-US" w:eastAsia="zh-CN"/>
        </w:rPr>
        <w:t>（二）健全保障体系</w:t>
      </w:r>
      <w:r>
        <w:rPr>
          <w:rFonts w:hint="default" w:ascii="Times New Roman" w:hAnsi="Times New Roman" w:eastAsia="仿宋_GB2312" w:cs="Times New Roman"/>
          <w:color w:val="0C0C0C"/>
          <w:sz w:val="32"/>
          <w:szCs w:val="32"/>
          <w:u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sz w:val="32"/>
          <w:szCs w:val="32"/>
          <w:u w:val="none"/>
          <w:lang w:val="en-US" w:eastAsia="zh-CN"/>
        </w:rPr>
      </w:pPr>
      <w:r>
        <w:rPr>
          <w:rFonts w:hint="default" w:ascii="Times New Roman" w:hAnsi="Times New Roman" w:eastAsia="仿宋_GB2312" w:cs="Times New Roman"/>
          <w:color w:val="0C0C0C"/>
          <w:sz w:val="32"/>
          <w:szCs w:val="32"/>
          <w:u w:val="none"/>
          <w:lang w:val="en-US" w:eastAsia="zh-CN"/>
        </w:rPr>
        <w:t>草案第七条至第十六条系统构建促进农村集体经济发展的政策保障体系，涵盖产业发展、财政、用地、金融、保险、税收、人才、科技、配套设施等方面支持保障措施，形成全方位、多层次的发展促进机制</w:t>
      </w:r>
      <w:r>
        <w:rPr>
          <w:rFonts w:hint="default" w:ascii="Times New Roman" w:hAnsi="Times New Roman" w:cs="Times New Roman"/>
          <w:color w:val="0C0C0C"/>
          <w:sz w:val="32"/>
          <w:szCs w:val="32"/>
          <w:u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lang w:val="en-US" w:eastAsia="zh-CN"/>
        </w:rPr>
      </w:pPr>
      <w:r>
        <w:rPr>
          <w:rFonts w:hint="default" w:ascii="Times New Roman" w:hAnsi="Times New Roman" w:eastAsia="楷体_GB2312" w:cs="Times New Roman"/>
          <w:color w:val="0C0C0C"/>
          <w:sz w:val="32"/>
          <w:szCs w:val="32"/>
          <w:u w:val="none"/>
          <w:lang w:val="en-US" w:eastAsia="zh-CN"/>
        </w:rPr>
        <w:t>（三）规范经营管理</w:t>
      </w:r>
      <w:r>
        <w:rPr>
          <w:rFonts w:hint="default" w:ascii="Times New Roman" w:hAnsi="Times New Roman" w:eastAsia="仿宋_GB2312" w:cs="Times New Roman"/>
          <w:color w:val="0C0C0C"/>
          <w:sz w:val="32"/>
          <w:szCs w:val="32"/>
          <w:u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sz w:val="32"/>
          <w:szCs w:val="32"/>
          <w:u w:val="none"/>
          <w:lang w:val="en-US" w:eastAsia="zh-CN"/>
        </w:rPr>
      </w:pPr>
      <w:r>
        <w:rPr>
          <w:rFonts w:hint="default" w:ascii="Times New Roman" w:hAnsi="Times New Roman" w:eastAsia="仿宋_GB2312" w:cs="Times New Roman"/>
          <w:color w:val="0C0C0C"/>
          <w:sz w:val="32"/>
          <w:szCs w:val="32"/>
          <w:u w:val="none"/>
          <w:lang w:val="en-US" w:eastAsia="zh-CN"/>
        </w:rPr>
        <w:t>草案第十七条至第二十四条规范农村集体经济组织的经营管理行为，具体包括经营决策、经营方式、财产确权、清查登记、开垦地管理、风险管理、财务管理等经营管理行为，确保农村集体经济组织经营规范有序，增强合同风险、财务风险等经营风险防范化解能力。</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color w:val="0C0C0C"/>
          <w:sz w:val="32"/>
          <w:szCs w:val="32"/>
          <w:u w:val="none"/>
          <w:lang w:val="en-US" w:eastAsia="zh-CN"/>
        </w:rPr>
      </w:pPr>
      <w:r>
        <w:rPr>
          <w:rFonts w:hint="default" w:ascii="Times New Roman" w:hAnsi="Times New Roman" w:eastAsia="楷体_GB2312" w:cs="Times New Roman"/>
          <w:color w:val="0C0C0C"/>
          <w:sz w:val="32"/>
          <w:szCs w:val="32"/>
          <w:u w:val="none"/>
          <w:lang w:val="en-US" w:eastAsia="zh-CN"/>
        </w:rPr>
        <w:t>（四）完善监督机制</w:t>
      </w:r>
      <w:r>
        <w:rPr>
          <w:rFonts w:hint="default" w:ascii="Times New Roman" w:hAnsi="Times New Roman" w:eastAsia="仿宋_GB2312" w:cs="Times New Roman"/>
          <w:color w:val="0C0C0C"/>
          <w:sz w:val="32"/>
          <w:szCs w:val="32"/>
          <w:u w:val="none"/>
          <w:lang w:val="en-US"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黑体" w:cs="Times New Roman"/>
          <w:color w:val="0C0C0C"/>
          <w:kern w:val="0"/>
          <w:sz w:val="32"/>
          <w:szCs w:val="32"/>
          <w:u w:val="none"/>
          <w:lang w:val="en-US" w:eastAsia="zh-CN"/>
        </w:rPr>
      </w:pPr>
      <w:r>
        <w:rPr>
          <w:rFonts w:hint="default" w:ascii="Times New Roman" w:hAnsi="Times New Roman" w:cs="Times New Roman"/>
          <w:color w:val="0C0C0C"/>
          <w:sz w:val="32"/>
          <w:szCs w:val="32"/>
          <w:u w:val="none"/>
          <w:lang w:val="en-US" w:eastAsia="zh-CN"/>
        </w:rPr>
        <w:t>草案第二十五条至第二十九条建立健全多元化的监督体系，从数字化监管、审计监督、指导监督、社会监督、政府及工作人员责任约束等方面，形成规范经营管理、保障集体财产安全的刚性约束机制，确保农村集体经济组织及其成员的合法权益。</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w:t>
      </w:r>
      <w:r>
        <w:rPr>
          <w:rFonts w:hint="default" w:ascii="Times New Roman" w:hAnsi="Times New Roman" w:eastAsia="黑体" w:cs="Times New Roman"/>
          <w:color w:val="0C0C0C"/>
          <w:kern w:val="0"/>
          <w:sz w:val="32"/>
          <w:szCs w:val="32"/>
          <w:u w:val="none"/>
          <w:lang w:val="en-US" w:eastAsia="zh-CN"/>
        </w:rPr>
        <w:t>需要关注的问题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（一）</w:t>
      </w:r>
      <w:r>
        <w:rPr>
          <w:rFonts w:hint="default" w:ascii="Times New Roman" w:hAnsi="Times New Roman" w:eastAsia="楷体_GB2312" w:cs="Times New Roman"/>
          <w:b w:val="0"/>
          <w:bCs w:val="0"/>
          <w:color w:val="auto"/>
          <w:sz w:val="32"/>
          <w:szCs w:val="32"/>
        </w:rPr>
        <w:t>关于</w:t>
      </w:r>
      <w:r>
        <w:rPr>
          <w:rFonts w:hint="default" w:ascii="Times New Roman" w:hAnsi="Times New Roman" w:eastAsia="楷体_GB2312" w:cs="Times New Roman"/>
          <w:b w:val="0"/>
          <w:bCs w:val="0"/>
          <w:color w:val="auto"/>
          <w:sz w:val="32"/>
          <w:szCs w:val="32"/>
          <w:lang w:eastAsia="zh-CN"/>
        </w:rPr>
        <w:t>明确村民委员会改制后的适用范围</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在草案第二条第二款中，明确“村民委员会改为居民委员会后仍保留的农村集体经济组织，也适用本条例”。“</w:t>
      </w:r>
      <w:r>
        <w:rPr>
          <w:rFonts w:hint="default" w:ascii="Times New Roman" w:hAnsi="Times New Roman" w:eastAsia="仿宋_GB2312" w:cs="Times New Roman"/>
          <w:b w:val="0"/>
          <w:bCs w:val="0"/>
          <w:color w:val="auto"/>
          <w:sz w:val="32"/>
          <w:szCs w:val="32"/>
          <w:lang w:val="en-US" w:eastAsia="zh-CN"/>
        </w:rPr>
        <w:t>村改居</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工作推进过程中，部分原村民委员会已改为居民委员会，但其集体资产尚未完全处置、农村集体经济组织仍然存续。作出上述规定，旨在坚持按照《中华人民共和国农村集体经济组织法》管理</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村改居</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后保留的农村集体经济组织，通过清产核资、成员确认、“三资”管理等机制防止集体财产流失，保障农村集体经济组织成员应有权益，同时依托特别法人地位支撑市场经营，防止改革导致集体家底“改没了”。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（二）关于明确街道办事处的职责</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eastAsia="zh-CN"/>
        </w:rPr>
        <w:t>在草案第四条第三款中，明确“</w:t>
      </w:r>
      <w:r>
        <w:rPr>
          <w:rFonts w:hint="default" w:ascii="Times New Roman" w:hAnsi="Times New Roman" w:eastAsia="仿宋_GB2312" w:cs="Times New Roman"/>
          <w:b w:val="0"/>
          <w:bCs w:val="0"/>
          <w:color w:val="auto"/>
          <w:sz w:val="32"/>
          <w:szCs w:val="32"/>
          <w:lang w:val="en-US" w:eastAsia="zh-CN"/>
        </w:rPr>
        <w:t>街道办事处在区人民政府统一领导下，履行农村集体经济促进和管理相关工作职责”</w:t>
      </w:r>
      <w:r>
        <w:rPr>
          <w:rFonts w:hint="default" w:ascii="Times New Roman" w:hAnsi="Times New Roman" w:eastAsia="仿宋_GB2312" w:cs="Times New Roman"/>
          <w:b w:val="0"/>
          <w:bCs w:val="0"/>
          <w:color w:val="auto"/>
          <w:sz w:val="32"/>
          <w:szCs w:val="32"/>
          <w:lang w:eastAsia="zh-CN"/>
        </w:rPr>
        <w:t>。补充</w:t>
      </w:r>
      <w:r>
        <w:rPr>
          <w:rFonts w:hint="default" w:ascii="Times New Roman" w:hAnsi="Times New Roman" w:eastAsia="仿宋_GB2312" w:cs="Times New Roman"/>
          <w:b w:val="0"/>
          <w:bCs w:val="0"/>
          <w:color w:val="auto"/>
          <w:sz w:val="32"/>
          <w:szCs w:val="32"/>
          <w:lang w:val="en-US" w:eastAsia="zh-CN"/>
        </w:rPr>
        <w:t>街道办管理农村集体经济的权责空白，同时守住农村集体经济组织依法自主经营的底线。</w:t>
      </w:r>
    </w:p>
    <w:p>
      <w:pPr>
        <w:pStyle w:val="3"/>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仿宋_GB2312" w:cs="Times New Roman"/>
          <w:sz w:val="32"/>
          <w:szCs w:val="32"/>
          <w:lang w:val="en"/>
        </w:rPr>
        <w:t xml:space="preserve">    </w:t>
      </w:r>
      <w:r>
        <w:rPr>
          <w:rFonts w:hint="default" w:ascii="Times New Roman" w:hAnsi="Times New Roman" w:eastAsia="楷体_GB2312" w:cs="Times New Roman"/>
          <w:b w:val="0"/>
          <w:bCs w:val="0"/>
          <w:color w:val="auto"/>
          <w:kern w:val="2"/>
          <w:sz w:val="32"/>
          <w:szCs w:val="32"/>
          <w:lang w:val="en-US" w:eastAsia="zh-CN" w:bidi="ar-SA"/>
        </w:rPr>
        <w:t>（三）关于进一步加强用地规范管理的规定</w:t>
      </w:r>
    </w:p>
    <w:p>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仿宋_GB2312" w:cs="Times New Roman"/>
          <w:b w:val="0"/>
          <w:bCs w:val="0"/>
          <w:color w:val="auto"/>
          <w:sz w:val="32"/>
          <w:szCs w:val="32"/>
          <w:lang w:eastAsia="zh-CN"/>
        </w:rPr>
        <w:t>在草案第十条第二、三款中，明确“</w:t>
      </w:r>
      <w:r>
        <w:rPr>
          <w:rFonts w:hint="default" w:ascii="Times New Roman" w:hAnsi="Times New Roman" w:eastAsia="仿宋_GB2312" w:cs="Times New Roman"/>
          <w:b w:val="0"/>
          <w:bCs w:val="0"/>
          <w:color w:val="auto"/>
          <w:sz w:val="32"/>
          <w:szCs w:val="32"/>
          <w:lang w:val="en-US" w:eastAsia="zh-CN"/>
        </w:rPr>
        <w:t>在符合国土空间规划和产业政策、环境保护等要求的前提下，农村集体经营性建设用地应当优先用于保障农村产业发展和农村建设。严禁以发展农村产业为名，变相开发商品住宅、别墅、私家庄园、酒店、宾馆、公寓、商务办公等项目。国家、本省有关政策允许入市的农村集体经营性建设用地应当依法采取招标、拍卖、挂牌或者协议等方式，用于符合用途管制、生态环境保护等要求的项目，不得擅自改变用途或者分割转让转租。严禁任何单位和个人规避招标、拍卖、挂牌等公开竞争性出让程序或者未经批准采取协议方式变相入市</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kern w:val="2"/>
          <w:sz w:val="32"/>
          <w:szCs w:val="32"/>
          <w:lang w:val="en-US" w:eastAsia="zh-CN" w:bidi="ar-SA"/>
        </w:rPr>
        <w:t>进一步加强用地规范管理，堵住用地管理漏洞，防止变相实现土地入市，防止借农村产业发展之名行房地产开发之实。</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（四）关于税收支持内容的细化</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在草案第十三条中，明确“农村集体经济组织及其设立或者参与设立的各类市场主体，符合享受契税、印花税等相关税收优惠政策适用条件的，依法享受税收减免”。明确了税收优惠政策的适用主体范围，细化了具体税种类型，增强了条款的可执行性，便于农村集体经济组织在实际经营中操作使用。</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eastAsia="zh-CN"/>
        </w:rPr>
        <w:t>需要说明的情况</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仿宋_GB2312" w:cs="Times New Roman"/>
          <w:b w:val="0"/>
          <w:bCs w:val="0"/>
          <w:color w:val="auto"/>
          <w:kern w:val="2"/>
          <w:sz w:val="32"/>
          <w:szCs w:val="32"/>
          <w:lang w:val="en-US" w:eastAsia="zh-CN" w:bidi="ar-SA"/>
        </w:rPr>
        <w:t>按照市人大常委会及市政府2026年立法工作计划安排，《三亚市农村集体经济促进和管理条例》原计划于2026年5月报送市政府审议，6月提请市人大常委会初次审议。在起草</w:t>
      </w:r>
      <w:r>
        <w:rPr>
          <w:rFonts w:hint="default" w:ascii="Times New Roman" w:hAnsi="Times New Roman" w:eastAsia="仿宋_GB2312" w:cs="Times New Roman"/>
          <w:b w:val="0"/>
          <w:bCs w:val="0"/>
          <w:color w:val="auto"/>
          <w:kern w:val="2"/>
          <w:sz w:val="32"/>
          <w:szCs w:val="32"/>
          <w:lang w:val="en-US" w:eastAsia="zh-CN" w:bidi="ar-SA"/>
        </w:rPr>
        <w:t>及审查过</w:t>
      </w:r>
      <w:bookmarkStart w:id="0" w:name="_GoBack"/>
      <w:bookmarkEnd w:id="0"/>
      <w:r>
        <w:rPr>
          <w:rFonts w:hint="default" w:ascii="Times New Roman" w:hAnsi="Times New Roman" w:eastAsia="仿宋_GB2312" w:cs="Times New Roman"/>
          <w:b w:val="0"/>
          <w:bCs w:val="0"/>
          <w:color w:val="auto"/>
          <w:kern w:val="2"/>
          <w:sz w:val="32"/>
          <w:szCs w:val="32"/>
          <w:lang w:val="en-US" w:eastAsia="zh-CN" w:bidi="ar-SA"/>
        </w:rPr>
        <w:t>程中，因涉及适用范围、管理职责、用地规范、税收政策等关键制度需进一步论证完善，草案未能按原定节点报送。经起草单位会同市司法局、市自然资源和规划局、国家税务总局三亚市税务局等部门反复论证修改，目前草案已经市政府常务会议审议通过，按程序提请市人大常委会初次审议，并积极配合做好各项保障工作，确保立法质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六、潜在风险及文件印发形式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仿宋_GB2312" w:cs="Times New Roman"/>
          <w:color w:val="0C0C0C"/>
          <w:kern w:val="2"/>
          <w:sz w:val="32"/>
          <w:szCs w:val="32"/>
          <w:u w:val="none"/>
          <w:lang w:eastAsia="zh-CN"/>
        </w:rPr>
      </w:pPr>
      <w:r>
        <w:rPr>
          <w:rFonts w:hint="default" w:ascii="Times New Roman" w:hAnsi="Times New Roman" w:eastAsia="仿宋_GB2312" w:cs="Times New Roman"/>
          <w:color w:val="0C0C0C"/>
          <w:kern w:val="2"/>
          <w:sz w:val="32"/>
          <w:szCs w:val="32"/>
          <w:u w:val="none"/>
          <w:lang w:val="en-US" w:eastAsia="zh-CN"/>
        </w:rPr>
        <w:t>草案属于地方性法规项目，</w:t>
      </w:r>
      <w:r>
        <w:rPr>
          <w:rFonts w:hint="default" w:ascii="Times New Roman" w:hAnsi="Times New Roman" w:eastAsia="仿宋_GB2312" w:cs="Times New Roman"/>
          <w:color w:val="0C0C0C"/>
          <w:kern w:val="2"/>
          <w:sz w:val="32"/>
          <w:szCs w:val="32"/>
          <w:u w:val="none"/>
        </w:rPr>
        <w:t>已</w:t>
      </w:r>
      <w:r>
        <w:rPr>
          <w:rFonts w:hint="default" w:ascii="Times New Roman" w:hAnsi="Times New Roman" w:eastAsia="仿宋_GB2312" w:cs="Times New Roman"/>
          <w:color w:val="0C0C0C"/>
          <w:kern w:val="2"/>
          <w:sz w:val="32"/>
          <w:szCs w:val="32"/>
          <w:u w:val="none"/>
          <w:lang w:eastAsia="zh-CN"/>
        </w:rPr>
        <w:t>履行</w:t>
      </w:r>
      <w:r>
        <w:rPr>
          <w:rFonts w:hint="default" w:ascii="Times New Roman" w:hAnsi="Times New Roman" w:eastAsia="仿宋_GB2312" w:cs="Times New Roman"/>
          <w:color w:val="0C0C0C"/>
          <w:kern w:val="2"/>
          <w:sz w:val="32"/>
          <w:szCs w:val="32"/>
          <w:u w:val="none"/>
        </w:rPr>
        <w:t>公开征求意见、公平竞争审查、制度廉洁性评估</w:t>
      </w:r>
      <w:r>
        <w:rPr>
          <w:rFonts w:hint="default" w:ascii="Times New Roman" w:hAnsi="Times New Roman" w:eastAsia="仿宋_GB2312" w:cs="Times New Roman"/>
          <w:color w:val="0C0C0C"/>
          <w:kern w:val="2"/>
          <w:sz w:val="32"/>
          <w:szCs w:val="32"/>
          <w:u w:val="none"/>
          <w:lang w:eastAsia="zh-CN"/>
        </w:rPr>
        <w:t>、合法性审查</w:t>
      </w:r>
      <w:r>
        <w:rPr>
          <w:rFonts w:hint="default" w:ascii="Times New Roman" w:hAnsi="Times New Roman" w:eastAsia="仿宋_GB2312" w:cs="Times New Roman"/>
          <w:kern w:val="2"/>
          <w:sz w:val="32"/>
          <w:szCs w:val="32"/>
        </w:rPr>
        <w:t>等相关前置程序</w:t>
      </w:r>
      <w:r>
        <w:rPr>
          <w:rFonts w:hint="default" w:ascii="Times New Roman" w:hAnsi="Times New Roman" w:eastAsia="仿宋_GB2312" w:cs="Times New Roman"/>
          <w:color w:val="0C0C0C"/>
          <w:kern w:val="2"/>
          <w:sz w:val="32"/>
          <w:szCs w:val="32"/>
          <w:u w:val="none"/>
        </w:rPr>
        <w:t>，</w:t>
      </w:r>
      <w:r>
        <w:rPr>
          <w:rFonts w:hint="default" w:ascii="Times New Roman" w:hAnsi="Times New Roman" w:eastAsia="仿宋_GB2312" w:cs="Times New Roman"/>
          <w:kern w:val="2"/>
          <w:sz w:val="32"/>
          <w:szCs w:val="32"/>
          <w:lang w:eastAsia="zh-CN"/>
        </w:rPr>
        <w:t>其</w:t>
      </w:r>
      <w:r>
        <w:rPr>
          <w:rFonts w:hint="default" w:ascii="Times New Roman" w:hAnsi="Times New Roman" w:eastAsia="仿宋_GB2312" w:cs="Times New Roman"/>
          <w:kern w:val="2"/>
          <w:sz w:val="32"/>
          <w:szCs w:val="32"/>
        </w:rPr>
        <w:t>制定主体、制定权限、制定依据、制定内容、送审前的程序等均符合相关法律法规的要求。</w:t>
      </w:r>
      <w:r>
        <w:rPr>
          <w:rFonts w:hint="default" w:ascii="Times New Roman" w:hAnsi="Times New Roman" w:eastAsia="仿宋_GB2312" w:cs="Times New Roman"/>
          <w:kern w:val="2"/>
          <w:sz w:val="32"/>
          <w:szCs w:val="32"/>
          <w:lang w:eastAsia="zh-CN"/>
        </w:rPr>
        <w:t>现</w:t>
      </w:r>
      <w:r>
        <w:rPr>
          <w:rFonts w:hint="default" w:ascii="Times New Roman" w:hAnsi="Times New Roman" w:eastAsia="仿宋_GB2312" w:cs="Times New Roman"/>
          <w:color w:val="0C0C0C"/>
          <w:kern w:val="2"/>
          <w:sz w:val="32"/>
          <w:szCs w:val="32"/>
          <w:u w:val="none"/>
        </w:rPr>
        <w:t>以议案形式提请市人大常委会审议，</w:t>
      </w:r>
      <w:r>
        <w:rPr>
          <w:rFonts w:hint="default" w:ascii="Times New Roman" w:hAnsi="Times New Roman" w:eastAsia="仿宋_GB2312" w:cs="Times New Roman"/>
          <w:kern w:val="2"/>
          <w:sz w:val="32"/>
          <w:szCs w:val="32"/>
          <w:lang w:val="en-US" w:eastAsia="zh-CN"/>
        </w:rPr>
        <w:t>建议</w:t>
      </w:r>
      <w:r>
        <w:rPr>
          <w:rFonts w:hint="default" w:ascii="Times New Roman" w:hAnsi="Times New Roman" w:eastAsia="仿宋_GB2312" w:cs="Times New Roman"/>
          <w:color w:val="0C0C0C"/>
          <w:kern w:val="2"/>
          <w:sz w:val="32"/>
          <w:szCs w:val="32"/>
          <w:u w:val="none"/>
        </w:rPr>
        <w:t>审议通过后以地方性法规形式</w:t>
      </w:r>
      <w:r>
        <w:rPr>
          <w:rFonts w:hint="default" w:ascii="Times New Roman" w:hAnsi="Times New Roman" w:eastAsia="仿宋_GB2312" w:cs="Times New Roman"/>
          <w:color w:val="0C0C0C"/>
          <w:kern w:val="2"/>
          <w:sz w:val="32"/>
          <w:szCs w:val="32"/>
          <w:u w:val="none"/>
          <w:lang w:eastAsia="zh-CN"/>
        </w:rPr>
        <w:t>公布</w:t>
      </w:r>
      <w:r>
        <w:rPr>
          <w:rFonts w:hint="default" w:ascii="Times New Roman" w:hAnsi="Times New Roman" w:eastAsia="仿宋_GB2312" w:cs="Times New Roman"/>
          <w:color w:val="0C0C0C"/>
          <w:kern w:val="2"/>
          <w:sz w:val="32"/>
          <w:szCs w:val="32"/>
          <w:u w:val="none"/>
        </w:rPr>
        <w:t>实施</w:t>
      </w:r>
      <w:r>
        <w:rPr>
          <w:rFonts w:hint="default" w:ascii="Times New Roman" w:hAnsi="Times New Roman" w:eastAsia="仿宋_GB2312" w:cs="Times New Roman"/>
          <w:color w:val="0C0C0C"/>
          <w:kern w:val="2"/>
          <w:sz w:val="32"/>
          <w:szCs w:val="32"/>
          <w:u w:val="none"/>
          <w:lang w:eastAsia="zh-CN"/>
        </w:rPr>
        <w:t>。</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textAlignment w:val="auto"/>
        <w:rPr>
          <w:rFonts w:hint="default" w:ascii="Times New Roman" w:hAnsi="Times New Roman" w:eastAsia="黑体" w:cs="Times New Roman"/>
          <w:b w:val="0"/>
          <w:bCs w:val="0"/>
          <w:sz w:val="32"/>
          <w:szCs w:val="32"/>
          <w:highlight w:val="none"/>
          <w:lang w:val="en-US" w:eastAsia="zh-CN"/>
        </w:rPr>
      </w:pP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2EFF" w:usb1="D200FDFF" w:usb2="0A246029" w:usb3="00000000"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26FE76E"/>
    <w:rsid w:val="07372807"/>
    <w:rsid w:val="07FFE960"/>
    <w:rsid w:val="0DFFB667"/>
    <w:rsid w:val="0F3AD0BD"/>
    <w:rsid w:val="15FFB627"/>
    <w:rsid w:val="177B2701"/>
    <w:rsid w:val="1D7ECC77"/>
    <w:rsid w:val="1FD4EA4C"/>
    <w:rsid w:val="1FF527B4"/>
    <w:rsid w:val="26BFC79B"/>
    <w:rsid w:val="277A3218"/>
    <w:rsid w:val="2DD7A724"/>
    <w:rsid w:val="2F7FEB54"/>
    <w:rsid w:val="2FB750A8"/>
    <w:rsid w:val="357F1DCE"/>
    <w:rsid w:val="37121C07"/>
    <w:rsid w:val="37574A98"/>
    <w:rsid w:val="375F0E03"/>
    <w:rsid w:val="37CD1EB9"/>
    <w:rsid w:val="37EF4CBE"/>
    <w:rsid w:val="37F7E34E"/>
    <w:rsid w:val="37FFEFD9"/>
    <w:rsid w:val="3969419F"/>
    <w:rsid w:val="3A3CA722"/>
    <w:rsid w:val="3AFFF768"/>
    <w:rsid w:val="3CBD5460"/>
    <w:rsid w:val="3CF70B7F"/>
    <w:rsid w:val="3EEB2CC3"/>
    <w:rsid w:val="3EEF1653"/>
    <w:rsid w:val="3F0F9A56"/>
    <w:rsid w:val="3F26995B"/>
    <w:rsid w:val="3FFE8BCD"/>
    <w:rsid w:val="4AF90015"/>
    <w:rsid w:val="4B1DC43C"/>
    <w:rsid w:val="4BBEF906"/>
    <w:rsid w:val="4DBF1D44"/>
    <w:rsid w:val="4FDF9A19"/>
    <w:rsid w:val="4FFA3E55"/>
    <w:rsid w:val="4FFA89A7"/>
    <w:rsid w:val="4FFE5F1A"/>
    <w:rsid w:val="557B0F02"/>
    <w:rsid w:val="573F6BBC"/>
    <w:rsid w:val="577E0407"/>
    <w:rsid w:val="57DD889C"/>
    <w:rsid w:val="59FBD660"/>
    <w:rsid w:val="5A7B78BB"/>
    <w:rsid w:val="5B65CF11"/>
    <w:rsid w:val="5BD68644"/>
    <w:rsid w:val="5CFD7830"/>
    <w:rsid w:val="5CFDD5CD"/>
    <w:rsid w:val="5EDD8DFB"/>
    <w:rsid w:val="5F72EDD3"/>
    <w:rsid w:val="5FE7D17F"/>
    <w:rsid w:val="5FF6430D"/>
    <w:rsid w:val="5FF7AAC4"/>
    <w:rsid w:val="5FFECF0E"/>
    <w:rsid w:val="5FFFD01E"/>
    <w:rsid w:val="65B2A9C0"/>
    <w:rsid w:val="667F1FB5"/>
    <w:rsid w:val="69EB18DC"/>
    <w:rsid w:val="6BD42C6A"/>
    <w:rsid w:val="6CED21FB"/>
    <w:rsid w:val="6D355E27"/>
    <w:rsid w:val="6DFD47FA"/>
    <w:rsid w:val="6E97DC94"/>
    <w:rsid w:val="6EE7247C"/>
    <w:rsid w:val="6F3FCB9E"/>
    <w:rsid w:val="6FAF4241"/>
    <w:rsid w:val="6FB95D6E"/>
    <w:rsid w:val="6FBA3D96"/>
    <w:rsid w:val="6FF9586B"/>
    <w:rsid w:val="6FFB0F96"/>
    <w:rsid w:val="6FFC2C40"/>
    <w:rsid w:val="70A72C4B"/>
    <w:rsid w:val="71FA11B7"/>
    <w:rsid w:val="73DE40E9"/>
    <w:rsid w:val="753E3225"/>
    <w:rsid w:val="757EF997"/>
    <w:rsid w:val="76DDD63D"/>
    <w:rsid w:val="773F065C"/>
    <w:rsid w:val="776F0649"/>
    <w:rsid w:val="7777AA9A"/>
    <w:rsid w:val="777A0E58"/>
    <w:rsid w:val="77B720E1"/>
    <w:rsid w:val="77F27389"/>
    <w:rsid w:val="77FA12B2"/>
    <w:rsid w:val="77FB5695"/>
    <w:rsid w:val="78EF66F6"/>
    <w:rsid w:val="78FF88D5"/>
    <w:rsid w:val="793BBFCF"/>
    <w:rsid w:val="797ED90D"/>
    <w:rsid w:val="79FF9C2A"/>
    <w:rsid w:val="7AEF70F2"/>
    <w:rsid w:val="7B7FF426"/>
    <w:rsid w:val="7BAD4E7C"/>
    <w:rsid w:val="7BBB5B82"/>
    <w:rsid w:val="7BDE9363"/>
    <w:rsid w:val="7BDEAD41"/>
    <w:rsid w:val="7BEA1ED1"/>
    <w:rsid w:val="7BFD9E73"/>
    <w:rsid w:val="7D6918E8"/>
    <w:rsid w:val="7DEE93C8"/>
    <w:rsid w:val="7DFB341D"/>
    <w:rsid w:val="7E5E3C91"/>
    <w:rsid w:val="7E7D8BE5"/>
    <w:rsid w:val="7E7F3E1C"/>
    <w:rsid w:val="7EAB94E3"/>
    <w:rsid w:val="7EBB7883"/>
    <w:rsid w:val="7EDFDFDB"/>
    <w:rsid w:val="7EECF193"/>
    <w:rsid w:val="7EFF9B1F"/>
    <w:rsid w:val="7F190502"/>
    <w:rsid w:val="7F3CBFE0"/>
    <w:rsid w:val="7F5BF002"/>
    <w:rsid w:val="7F7B2EF8"/>
    <w:rsid w:val="7F8FFF05"/>
    <w:rsid w:val="7FA75E16"/>
    <w:rsid w:val="7FBFC217"/>
    <w:rsid w:val="7FD501CD"/>
    <w:rsid w:val="7FDBB72F"/>
    <w:rsid w:val="7FDBEF90"/>
    <w:rsid w:val="7FE7F185"/>
    <w:rsid w:val="7FEDDC91"/>
    <w:rsid w:val="7FEED021"/>
    <w:rsid w:val="7FEF5E1C"/>
    <w:rsid w:val="7FEFDC7E"/>
    <w:rsid w:val="7FF745C4"/>
    <w:rsid w:val="7FFF7F6F"/>
    <w:rsid w:val="86F7E0E0"/>
    <w:rsid w:val="8FFF149D"/>
    <w:rsid w:val="92F5AED5"/>
    <w:rsid w:val="973FE084"/>
    <w:rsid w:val="9AFF90DB"/>
    <w:rsid w:val="9D975740"/>
    <w:rsid w:val="AB5F7D3B"/>
    <w:rsid w:val="AD5CD2D4"/>
    <w:rsid w:val="AFBFB5FF"/>
    <w:rsid w:val="AFDF762F"/>
    <w:rsid w:val="B5FB9E1F"/>
    <w:rsid w:val="B6EED17B"/>
    <w:rsid w:val="B9DF29A5"/>
    <w:rsid w:val="BB7C0B03"/>
    <w:rsid w:val="BBDF3D55"/>
    <w:rsid w:val="BBFFB31A"/>
    <w:rsid w:val="BBFFF506"/>
    <w:rsid w:val="BC7FF43D"/>
    <w:rsid w:val="BDDB37A4"/>
    <w:rsid w:val="BDFA5637"/>
    <w:rsid w:val="BE75EA80"/>
    <w:rsid w:val="BF5C8B8A"/>
    <w:rsid w:val="BF7BD30A"/>
    <w:rsid w:val="BFD13D9C"/>
    <w:rsid w:val="BFD789C0"/>
    <w:rsid w:val="BFDCFC16"/>
    <w:rsid w:val="BFEF6619"/>
    <w:rsid w:val="BFF664AA"/>
    <w:rsid w:val="BFFF3C59"/>
    <w:rsid w:val="BFFFF8BD"/>
    <w:rsid w:val="CCFFBBFD"/>
    <w:rsid w:val="CDDD62C5"/>
    <w:rsid w:val="CDFE968C"/>
    <w:rsid w:val="D3FF7D9E"/>
    <w:rsid w:val="D6DFEA9C"/>
    <w:rsid w:val="D77F5E83"/>
    <w:rsid w:val="D7B2CF84"/>
    <w:rsid w:val="D7BC6227"/>
    <w:rsid w:val="DAEFCA24"/>
    <w:rsid w:val="DDB58CEB"/>
    <w:rsid w:val="DDDFE937"/>
    <w:rsid w:val="DDFFEEF3"/>
    <w:rsid w:val="DEFF0650"/>
    <w:rsid w:val="DFB508E4"/>
    <w:rsid w:val="DFE05D5B"/>
    <w:rsid w:val="DFE5A985"/>
    <w:rsid w:val="DFFED173"/>
    <w:rsid w:val="DFFF77D4"/>
    <w:rsid w:val="DFFFE0F7"/>
    <w:rsid w:val="E26FE76E"/>
    <w:rsid w:val="E5FEE723"/>
    <w:rsid w:val="E6B924AE"/>
    <w:rsid w:val="E72DFC69"/>
    <w:rsid w:val="E95B3435"/>
    <w:rsid w:val="E9644429"/>
    <w:rsid w:val="EB3BEC6E"/>
    <w:rsid w:val="EBEEDD3E"/>
    <w:rsid w:val="ED1F2AE9"/>
    <w:rsid w:val="ED2E0562"/>
    <w:rsid w:val="EDEED87A"/>
    <w:rsid w:val="EE6D7A12"/>
    <w:rsid w:val="EEFCEAF6"/>
    <w:rsid w:val="EFCFD2DF"/>
    <w:rsid w:val="F3E6D086"/>
    <w:rsid w:val="F3F59564"/>
    <w:rsid w:val="F485FC0E"/>
    <w:rsid w:val="F4FBC13E"/>
    <w:rsid w:val="F5B75019"/>
    <w:rsid w:val="F5DBDFD1"/>
    <w:rsid w:val="F6F746EF"/>
    <w:rsid w:val="F70E4160"/>
    <w:rsid w:val="F7677467"/>
    <w:rsid w:val="F7BF3185"/>
    <w:rsid w:val="F7F52D3A"/>
    <w:rsid w:val="F7F54D3F"/>
    <w:rsid w:val="F7FCB938"/>
    <w:rsid w:val="F9F7E8ED"/>
    <w:rsid w:val="FA9B5899"/>
    <w:rsid w:val="FB15E108"/>
    <w:rsid w:val="FB7F7482"/>
    <w:rsid w:val="FC8768E2"/>
    <w:rsid w:val="FCF6B962"/>
    <w:rsid w:val="FD7F2AAA"/>
    <w:rsid w:val="FD7FEE52"/>
    <w:rsid w:val="FDF7489A"/>
    <w:rsid w:val="FDF95A8E"/>
    <w:rsid w:val="FDFEFA01"/>
    <w:rsid w:val="FDFF804E"/>
    <w:rsid w:val="FE17EA29"/>
    <w:rsid w:val="FE2EF97F"/>
    <w:rsid w:val="FE6F5416"/>
    <w:rsid w:val="FE839047"/>
    <w:rsid w:val="FE9FB72B"/>
    <w:rsid w:val="FEBB35DF"/>
    <w:rsid w:val="FEF993B6"/>
    <w:rsid w:val="FEFF2F91"/>
    <w:rsid w:val="FF1F4662"/>
    <w:rsid w:val="FF7B662A"/>
    <w:rsid w:val="FF7DB8B7"/>
    <w:rsid w:val="FF7E5F1B"/>
    <w:rsid w:val="FF7F4D98"/>
    <w:rsid w:val="FFA783C1"/>
    <w:rsid w:val="FFB2EFE6"/>
    <w:rsid w:val="FFBEE19E"/>
    <w:rsid w:val="FFBFE129"/>
    <w:rsid w:val="FFCE442E"/>
    <w:rsid w:val="FFD7E2A7"/>
    <w:rsid w:val="FFDC470D"/>
    <w:rsid w:val="FFEFA72E"/>
    <w:rsid w:val="FFF3FFB2"/>
    <w:rsid w:val="FFFB3DD1"/>
    <w:rsid w:val="FFFB96D0"/>
    <w:rsid w:val="FFFBAA5F"/>
    <w:rsid w:val="FFFFB7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Salutation"/>
    <w:basedOn w:val="1"/>
    <w:next w:val="1"/>
    <w:qFormat/>
    <w:uiPriority w:val="0"/>
    <w:rPr>
      <w:rFonts w:ascii="Calibri" w:hAnsi="Calibri" w:eastAsia="宋体" w:cs="Times New Roman"/>
      <w:lang w:val="en-US" w:eastAsia="zh-CN" w:bidi="ar-SA"/>
    </w:rPr>
  </w:style>
  <w:style w:type="paragraph" w:styleId="4">
    <w:name w:val="Body Text"/>
    <w:basedOn w:val="1"/>
    <w:next w:val="1"/>
    <w:qFormat/>
    <w:uiPriority w:val="1"/>
    <w:rPr>
      <w:rFonts w:ascii="仿宋_GB2312" w:hAnsi="仿宋_GB2312" w:eastAsia="仿宋_GB2312" w:cs="仿宋_GB2312"/>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4"/>
    <w:unhideWhenUsed/>
    <w:qFormat/>
    <w:uiPriority w:val="0"/>
    <w:pPr>
      <w:spacing w:beforeLines="0" w:afterLines="0"/>
      <w:ind w:firstLine="420" w:firstLineChars="100"/>
    </w:pPr>
    <w:rPr>
      <w:rFonts w:hint="eastAsia"/>
      <w:sz w:val="4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BodyText1I2"/>
    <w:basedOn w:val="15"/>
    <w:qFormat/>
    <w:uiPriority w:val="0"/>
    <w:pPr>
      <w:spacing w:after="120"/>
      <w:ind w:left="420" w:leftChars="200" w:firstLine="420" w:firstLineChars="200"/>
    </w:pPr>
    <w:rPr>
      <w:rFonts w:ascii="Calibri" w:eastAsia="宋体"/>
      <w:sz w:val="21"/>
      <w:szCs w:val="22"/>
    </w:rPr>
  </w:style>
  <w:style w:type="paragraph" w:customStyle="1" w:styleId="15">
    <w:name w:val="BodyTextIndent"/>
    <w:basedOn w:val="1"/>
    <w:qFormat/>
    <w:uiPriority w:val="0"/>
    <w:pPr>
      <w:ind w:firstLine="540"/>
      <w:textAlignment w:val="baseline"/>
    </w:pPr>
    <w:rPr>
      <w:rFonts w:ascii="仿宋_GB2312" w:hAnsi="Calibri" w:eastAsia="仿宋_GB2312"/>
      <w:sz w:val="3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2022-06-18T01:53:00Z</dcterms:created>
  <dc:creator>uos</dc:creator>
  <cp:lastModifiedBy>user</cp:lastModifiedBy>
  <cp:lastPrinted>2024-06-20T09:43:00Z</cp:lastPrinted>
  <dcterms:modified xsi:type="dcterms:W3CDTF">2026-09-03T21:13:06Z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054390DF4A2BE36E3721996ACB1D70D2</vt:lpwstr>
  </property>
</Properties>
</file>