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78"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after="0" w:line="578" w:lineRule="exact"/>
        <w:jc w:val="center"/>
        <w:textAlignment w:val="auto"/>
        <w:rPr>
          <w:rFonts w:hint="default" w:ascii="Times New Roman" w:hAnsi="Times New Roman" w:eastAsia="方正小标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578"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三亚市养犬管理规定（草案）</w:t>
      </w:r>
    </w:p>
    <w:p>
      <w:pPr>
        <w:pStyle w:val="2"/>
        <w:keepNext w:val="0"/>
        <w:keepLines w:val="0"/>
        <w:pageBreakBefore w:val="0"/>
        <w:widowControl w:val="0"/>
        <w:kinsoku/>
        <w:wordWrap/>
        <w:overflowPunct/>
        <w:topLinePunct w:val="0"/>
        <w:autoSpaceDE/>
        <w:autoSpaceDN/>
        <w:bidi w:val="0"/>
        <w:adjustRightInd/>
        <w:snapToGrid/>
        <w:spacing w:after="0" w:line="578" w:lineRule="exact"/>
        <w:jc w:val="center"/>
        <w:textAlignment w:val="auto"/>
        <w:rPr>
          <w:rFonts w:hint="default" w:ascii="Times New Roman" w:hAnsi="Times New Roman" w:cs="Times New Roman"/>
          <w:b w:val="0"/>
          <w:bCs w:val="0"/>
          <w:kern w:val="0"/>
          <w:sz w:val="32"/>
          <w:szCs w:val="32"/>
        </w:rPr>
      </w:pPr>
    </w:p>
    <w:p>
      <w:pPr>
        <w:pStyle w:val="2"/>
        <w:keepNext w:val="0"/>
        <w:keepLines w:val="0"/>
        <w:pageBreakBefore w:val="0"/>
        <w:widowControl w:val="0"/>
        <w:kinsoku/>
        <w:wordWrap/>
        <w:overflowPunct/>
        <w:topLinePunct w:val="0"/>
        <w:autoSpaceDE/>
        <w:autoSpaceDN/>
        <w:bidi w:val="0"/>
        <w:adjustRightInd/>
        <w:snapToGrid/>
        <w:spacing w:after="0" w:line="578" w:lineRule="exact"/>
        <w:jc w:val="center"/>
        <w:textAlignment w:val="auto"/>
        <w:rPr>
          <w:rFonts w:hint="default" w:ascii="Times New Roman" w:hAnsi="Times New Roman" w:cs="Times New Roman"/>
          <w:b w:val="0"/>
          <w:bCs w:val="0"/>
          <w:kern w:val="0"/>
          <w:sz w:val="32"/>
          <w:szCs w:val="32"/>
        </w:rPr>
      </w:pPr>
      <w:r>
        <w:rPr>
          <w:rFonts w:hint="default" w:ascii="Times New Roman" w:hAnsi="Times New Roman" w:cs="Times New Roman"/>
          <w:b w:val="0"/>
          <w:bCs w:val="0"/>
          <w:kern w:val="0"/>
          <w:sz w:val="32"/>
          <w:szCs w:val="32"/>
        </w:rPr>
        <w:t>目  录</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楷体_GB2312" w:cs="Times New Roman"/>
          <w:b w:val="0"/>
          <w:bCs w:val="0"/>
          <w:kern w:val="0"/>
          <w:sz w:val="32"/>
          <w:szCs w:val="32"/>
        </w:rPr>
      </w:pPr>
      <w:r>
        <w:rPr>
          <w:rFonts w:hint="default" w:ascii="Times New Roman" w:hAnsi="Times New Roman" w:eastAsia="楷体_GB2312" w:cs="Times New Roman"/>
          <w:b w:val="0"/>
          <w:bCs w:val="0"/>
          <w:kern w:val="0"/>
          <w:sz w:val="32"/>
          <w:szCs w:val="32"/>
        </w:rPr>
        <w:t>第一章  总  则</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楷体_GB2312" w:cs="Times New Roman"/>
          <w:b w:val="0"/>
          <w:bCs w:val="0"/>
          <w:kern w:val="0"/>
          <w:sz w:val="32"/>
          <w:szCs w:val="32"/>
          <w:lang w:eastAsia="zh-CN"/>
        </w:rPr>
      </w:pPr>
      <w:r>
        <w:rPr>
          <w:rFonts w:hint="default" w:ascii="Times New Roman" w:hAnsi="Times New Roman" w:eastAsia="楷体_GB2312" w:cs="Times New Roman"/>
          <w:b w:val="0"/>
          <w:bCs w:val="0"/>
          <w:kern w:val="0"/>
          <w:sz w:val="32"/>
          <w:szCs w:val="32"/>
        </w:rPr>
        <w:t xml:space="preserve">第二章  </w:t>
      </w:r>
      <w:r>
        <w:rPr>
          <w:rFonts w:hint="default" w:ascii="Times New Roman" w:hAnsi="Times New Roman" w:eastAsia="楷体_GB2312" w:cs="Times New Roman"/>
          <w:b w:val="0"/>
          <w:bCs w:val="0"/>
          <w:kern w:val="0"/>
          <w:sz w:val="32"/>
          <w:szCs w:val="32"/>
          <w:lang w:eastAsia="zh-CN"/>
        </w:rPr>
        <w:t>分区域管理</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楷体_GB2312" w:cs="Times New Roman"/>
          <w:b w:val="0"/>
          <w:bCs w:val="0"/>
          <w:kern w:val="0"/>
          <w:sz w:val="32"/>
          <w:szCs w:val="32"/>
          <w:lang w:eastAsia="zh-CN"/>
        </w:rPr>
      </w:pPr>
      <w:r>
        <w:rPr>
          <w:rFonts w:hint="default" w:ascii="Times New Roman" w:hAnsi="Times New Roman" w:eastAsia="楷体_GB2312" w:cs="Times New Roman"/>
          <w:b w:val="0"/>
          <w:bCs w:val="0"/>
          <w:kern w:val="0"/>
          <w:sz w:val="32"/>
          <w:szCs w:val="32"/>
        </w:rPr>
        <w:t xml:space="preserve">第三章  </w:t>
      </w:r>
      <w:r>
        <w:rPr>
          <w:rFonts w:hint="default" w:ascii="Times New Roman" w:hAnsi="Times New Roman" w:eastAsia="楷体_GB2312" w:cs="Times New Roman"/>
          <w:b w:val="0"/>
          <w:bCs w:val="0"/>
          <w:kern w:val="0"/>
          <w:sz w:val="32"/>
          <w:szCs w:val="32"/>
          <w:lang w:eastAsia="zh-CN"/>
        </w:rPr>
        <w:t>免疫、登记</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楷体_GB2312" w:cs="Times New Roman"/>
          <w:b w:val="0"/>
          <w:bCs w:val="0"/>
          <w:kern w:val="0"/>
          <w:sz w:val="32"/>
          <w:szCs w:val="32"/>
          <w:lang w:eastAsia="zh-CN"/>
        </w:rPr>
      </w:pPr>
      <w:r>
        <w:rPr>
          <w:rFonts w:hint="default" w:ascii="Times New Roman" w:hAnsi="Times New Roman" w:eastAsia="楷体_GB2312" w:cs="Times New Roman"/>
          <w:b w:val="0"/>
          <w:bCs w:val="0"/>
          <w:kern w:val="0"/>
          <w:sz w:val="32"/>
          <w:szCs w:val="32"/>
        </w:rPr>
        <w:t xml:space="preserve">第四章  </w:t>
      </w:r>
      <w:r>
        <w:rPr>
          <w:rFonts w:hint="default" w:ascii="Times New Roman" w:hAnsi="Times New Roman" w:eastAsia="楷体_GB2312" w:cs="Times New Roman"/>
          <w:b w:val="0"/>
          <w:bCs w:val="0"/>
          <w:kern w:val="0"/>
          <w:sz w:val="32"/>
          <w:szCs w:val="32"/>
          <w:lang w:eastAsia="zh-CN"/>
        </w:rPr>
        <w:t>养犬行为规范</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楷体_GB2312" w:cs="Times New Roman"/>
          <w:b w:val="0"/>
          <w:bCs w:val="0"/>
          <w:kern w:val="0"/>
          <w:sz w:val="32"/>
          <w:szCs w:val="32"/>
          <w:lang w:eastAsia="zh-CN"/>
        </w:rPr>
      </w:pPr>
      <w:r>
        <w:rPr>
          <w:rFonts w:hint="default" w:ascii="Times New Roman" w:hAnsi="Times New Roman" w:eastAsia="楷体_GB2312" w:cs="Times New Roman"/>
          <w:b w:val="0"/>
          <w:bCs w:val="0"/>
          <w:kern w:val="0"/>
          <w:sz w:val="32"/>
          <w:szCs w:val="32"/>
        </w:rPr>
        <w:t xml:space="preserve">第五章  </w:t>
      </w:r>
      <w:r>
        <w:rPr>
          <w:rFonts w:hint="default" w:ascii="Times New Roman" w:hAnsi="Times New Roman" w:eastAsia="楷体_GB2312" w:cs="Times New Roman"/>
          <w:b w:val="0"/>
          <w:bCs w:val="0"/>
          <w:kern w:val="0"/>
          <w:sz w:val="32"/>
          <w:szCs w:val="32"/>
          <w:lang w:eastAsia="zh-CN"/>
        </w:rPr>
        <w:t>监督管理</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楷体_GB2312" w:cs="Times New Roman"/>
          <w:b w:val="0"/>
          <w:bCs w:val="0"/>
          <w:kern w:val="0"/>
          <w:sz w:val="32"/>
          <w:szCs w:val="32"/>
          <w:lang w:eastAsia="zh-CN"/>
        </w:rPr>
      </w:pPr>
      <w:r>
        <w:rPr>
          <w:rFonts w:hint="default" w:ascii="Times New Roman" w:hAnsi="Times New Roman" w:eastAsia="楷体_GB2312" w:cs="Times New Roman"/>
          <w:b w:val="0"/>
          <w:bCs w:val="0"/>
          <w:kern w:val="0"/>
          <w:sz w:val="32"/>
          <w:szCs w:val="32"/>
        </w:rPr>
        <w:t xml:space="preserve">第六章  </w:t>
      </w:r>
      <w:r>
        <w:rPr>
          <w:rFonts w:hint="default" w:ascii="Times New Roman" w:hAnsi="Times New Roman" w:eastAsia="楷体_GB2312" w:cs="Times New Roman"/>
          <w:b w:val="0"/>
          <w:bCs w:val="0"/>
          <w:kern w:val="0"/>
          <w:sz w:val="32"/>
          <w:szCs w:val="32"/>
          <w:lang w:eastAsia="zh-CN"/>
        </w:rPr>
        <w:t>法律责任</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楷体_GB2312" w:cs="Times New Roman"/>
          <w:b w:val="0"/>
          <w:bCs w:val="0"/>
          <w:kern w:val="0"/>
          <w:sz w:val="32"/>
          <w:szCs w:val="32"/>
        </w:rPr>
      </w:pPr>
      <w:r>
        <w:rPr>
          <w:rFonts w:hint="default" w:ascii="Times New Roman" w:hAnsi="Times New Roman" w:eastAsia="楷体_GB2312" w:cs="Times New Roman"/>
          <w:b w:val="0"/>
          <w:bCs w:val="0"/>
          <w:kern w:val="0"/>
          <w:sz w:val="32"/>
          <w:szCs w:val="32"/>
          <w:lang w:eastAsia="zh-CN"/>
        </w:rPr>
        <w:t>第七章</w:t>
      </w:r>
      <w:r>
        <w:rPr>
          <w:rFonts w:hint="default" w:ascii="Times New Roman" w:hAnsi="Times New Roman" w:eastAsia="楷体_GB2312" w:cs="Times New Roman"/>
          <w:b w:val="0"/>
          <w:bCs w:val="0"/>
          <w:kern w:val="0"/>
          <w:sz w:val="32"/>
          <w:szCs w:val="32"/>
          <w:lang w:val="en-US" w:eastAsia="zh-CN"/>
        </w:rPr>
        <w:t xml:space="preserve">  </w:t>
      </w:r>
      <w:r>
        <w:rPr>
          <w:rFonts w:hint="default" w:ascii="Times New Roman" w:hAnsi="Times New Roman" w:eastAsia="楷体_GB2312" w:cs="Times New Roman"/>
          <w:b w:val="0"/>
          <w:bCs w:val="0"/>
          <w:kern w:val="0"/>
          <w:sz w:val="32"/>
          <w:szCs w:val="32"/>
        </w:rPr>
        <w:t>附  则</w:t>
      </w:r>
    </w:p>
    <w:p>
      <w:pPr>
        <w:pStyle w:val="2"/>
        <w:keepNext w:val="0"/>
        <w:keepLines w:val="0"/>
        <w:pageBreakBefore w:val="0"/>
        <w:widowControl w:val="0"/>
        <w:kinsoku/>
        <w:wordWrap/>
        <w:overflowPunct/>
        <w:topLinePunct w:val="0"/>
        <w:autoSpaceDE/>
        <w:autoSpaceDN/>
        <w:bidi w:val="0"/>
        <w:adjustRightInd/>
        <w:snapToGrid/>
        <w:spacing w:after="0" w:line="578" w:lineRule="exact"/>
        <w:jc w:val="both"/>
        <w:textAlignment w:val="auto"/>
        <w:rPr>
          <w:rFonts w:hint="default" w:ascii="Times New Roman" w:hAnsi="Times New Roman" w:cs="Times New Roman"/>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78" w:lineRule="exact"/>
        <w:jc w:val="center"/>
        <w:textAlignment w:val="auto"/>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 xml:space="preserve">第一章 </w:t>
      </w:r>
      <w:r>
        <w:rPr>
          <w:rFonts w:hint="default" w:ascii="Times New Roman" w:hAnsi="Times New Roman" w:eastAsia="黑体" w:cs="Times New Roman"/>
          <w:kern w:val="0"/>
          <w:sz w:val="32"/>
          <w:szCs w:val="32"/>
          <w:highlight w:val="none"/>
          <w:lang w:val="en-US" w:eastAsia="zh-CN"/>
        </w:rPr>
        <w:t xml:space="preserve"> </w:t>
      </w:r>
      <w:r>
        <w:rPr>
          <w:rFonts w:hint="default" w:ascii="Times New Roman" w:hAnsi="Times New Roman" w:eastAsia="黑体" w:cs="Times New Roman"/>
          <w:kern w:val="0"/>
          <w:sz w:val="32"/>
          <w:szCs w:val="32"/>
          <w:highlight w:val="none"/>
        </w:rPr>
        <w:t>总</w:t>
      </w:r>
      <w:r>
        <w:rPr>
          <w:rFonts w:hint="default" w:ascii="Times New Roman" w:hAnsi="Times New Roman" w:eastAsia="黑体" w:cs="Times New Roman"/>
          <w:kern w:val="0"/>
          <w:sz w:val="32"/>
          <w:szCs w:val="32"/>
          <w:highlight w:val="none"/>
          <w:lang w:val="en-US" w:eastAsia="zh-CN"/>
        </w:rPr>
        <w:t xml:space="preserve">  </w:t>
      </w:r>
      <w:r>
        <w:rPr>
          <w:rFonts w:hint="default" w:ascii="Times New Roman" w:hAnsi="Times New Roman" w:eastAsia="黑体" w:cs="Times New Roman"/>
          <w:kern w:val="0"/>
          <w:sz w:val="32"/>
          <w:szCs w:val="32"/>
          <w:highlight w:val="none"/>
        </w:rPr>
        <w:t>则</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eastAsia" w:ascii="黑体" w:hAnsi="黑体" w:eastAsia="黑体" w:cs="黑体"/>
          <w:kern w:val="0"/>
          <w:sz w:val="32"/>
          <w:szCs w:val="32"/>
          <w:highlight w:val="none"/>
        </w:rPr>
        <w:t>第一条【立法目的】</w:t>
      </w: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为了规范养犬行为，加强养犬管理，保障公民身体健康和人身安全，维护环境卫生和社会公共秩序，建设文明和谐宜居城市，根据有关法律、法规，结合本市实际，制定本规定。</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黑体" w:hAnsi="黑体" w:eastAsia="黑体" w:cs="黑体"/>
          <w:kern w:val="0"/>
          <w:sz w:val="32"/>
          <w:szCs w:val="32"/>
          <w:highlight w:val="none"/>
        </w:rPr>
        <w:t>第二条【适用范围</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本市行政区域内犬只的饲养、免疫、登记、经营、收容以及相关管理活动，适用本规定。</w:t>
      </w:r>
    </w:p>
    <w:p>
      <w:pPr>
        <w:pStyle w:val="43"/>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军事机关、公安机关、应急管理部门以及动物园、专业表演团体、教学科研机构等单位因工作需要饲养犬只的管理，不适用本规定。</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黑体" w:hAnsi="黑体" w:eastAsia="黑体" w:cs="黑体"/>
          <w:kern w:val="0"/>
          <w:sz w:val="32"/>
          <w:szCs w:val="32"/>
          <w:highlight w:val="none"/>
        </w:rPr>
        <w:t>第三条【原则和养犬人】</w:t>
      </w: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养犬管理遵循政府依法监管、养犬人自律、基层组织参与、社会公众监督相结合的原则。</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本规定所称养犬人，是指饲养、管理犬只的个人或者单位。</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黑体" w:hAnsi="黑体" w:eastAsia="黑体" w:cs="黑体"/>
          <w:kern w:val="0"/>
          <w:sz w:val="32"/>
          <w:szCs w:val="32"/>
          <w:highlight w:val="none"/>
        </w:rPr>
        <w:t>第四条【协调机制】</w:t>
      </w: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市、区人民政府应当建立养犬管理工作协调机制，组织、指导、监督和保障养犬管理工作，将养犬管理工作所需资金纳入本级政府财政预算。</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育才生态区管理委员会参照本规定有关区人民政府的职责，负责本辖区内养犬管理工作。</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黑体" w:hAnsi="黑体" w:eastAsia="黑体" w:cs="黑体"/>
          <w:kern w:val="0"/>
          <w:sz w:val="32"/>
          <w:szCs w:val="32"/>
          <w:highlight w:val="none"/>
        </w:rPr>
        <w:t>第五条【部门职责分工】</w:t>
      </w: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综合行政执法部门是养犬管理工作的主管部门，负责犬只登记、捕捉流浪犬只及收容工作，依法查处除违反治安管理行为以外的涉犬违法行为。</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农业农村</w:t>
      </w:r>
      <w:r>
        <w:rPr>
          <w:rFonts w:hint="default" w:ascii="Times New Roman" w:hAnsi="Times New Roman" w:eastAsia="仿宋_GB2312" w:cs="Times New Roman"/>
          <w:kern w:val="0"/>
          <w:sz w:val="32"/>
          <w:szCs w:val="32"/>
          <w:highlight w:val="none"/>
          <w:lang w:eastAsia="zh-CN"/>
        </w:rPr>
        <w:t>主管</w:t>
      </w:r>
      <w:r>
        <w:rPr>
          <w:rFonts w:hint="default" w:ascii="Times New Roman" w:hAnsi="Times New Roman" w:eastAsia="仿宋_GB2312" w:cs="Times New Roman"/>
          <w:kern w:val="0"/>
          <w:sz w:val="32"/>
          <w:szCs w:val="32"/>
          <w:highlight w:val="none"/>
        </w:rPr>
        <w:t>部门负责犬只的免疫、检疫管理和疫病监测，指导和监督犬只尸体无害化处理以及犬只收容救助等场所的防疫工作。</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公安机关负责依法捕杀狂犬以及查处犬吠扰民、放任、驱使犬只恐吓、伤害他人等违反治安管理行为。</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卫生健康</w:t>
      </w:r>
      <w:r>
        <w:rPr>
          <w:rFonts w:hint="default" w:ascii="Times New Roman" w:hAnsi="Times New Roman" w:eastAsia="仿宋_GB2312" w:cs="Times New Roman"/>
          <w:kern w:val="0"/>
          <w:sz w:val="32"/>
          <w:szCs w:val="32"/>
          <w:highlight w:val="none"/>
          <w:lang w:eastAsia="zh-CN"/>
        </w:rPr>
        <w:t>主管</w:t>
      </w:r>
      <w:r>
        <w:rPr>
          <w:rFonts w:hint="default" w:ascii="Times New Roman" w:hAnsi="Times New Roman" w:eastAsia="仿宋_GB2312" w:cs="Times New Roman"/>
          <w:kern w:val="0"/>
          <w:sz w:val="32"/>
          <w:szCs w:val="32"/>
          <w:highlight w:val="none"/>
        </w:rPr>
        <w:t>部门负责人用狂犬病疫苗供应、接种，人类狂犬病疫情监测以及卫生宣传教育等工作。</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住房和城乡建设</w:t>
      </w:r>
      <w:r>
        <w:rPr>
          <w:rFonts w:hint="default" w:ascii="Times New Roman" w:hAnsi="Times New Roman" w:eastAsia="仿宋_GB2312" w:cs="Times New Roman"/>
          <w:kern w:val="0"/>
          <w:sz w:val="32"/>
          <w:szCs w:val="32"/>
          <w:highlight w:val="none"/>
          <w:lang w:eastAsia="zh-CN"/>
        </w:rPr>
        <w:t>主管</w:t>
      </w:r>
      <w:r>
        <w:rPr>
          <w:rFonts w:hint="default" w:ascii="Times New Roman" w:hAnsi="Times New Roman" w:eastAsia="仿宋_GB2312" w:cs="Times New Roman"/>
          <w:kern w:val="0"/>
          <w:sz w:val="32"/>
          <w:szCs w:val="32"/>
          <w:highlight w:val="none"/>
        </w:rPr>
        <w:t>部门负责督促物业服务人和公园管理服务机构配合做好养犬管理相关工作。</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其他有关部门应当在各自职责范围内做好养犬管理的相关工作。</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村（居）民委员会、业主委员会、物业管理委员会、物业服务人应当协助有关部门开展依法文明养犬、人畜共患传染病防治等宣传教育，引导养犬人遵守养犬行为规范，协调处理养犬纠纷，劝阻违法养犬行为，及时将违法养犬行为向综合行政执法部门报告。</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黑体" w:hAnsi="黑体" w:eastAsia="黑体" w:cs="黑体"/>
          <w:kern w:val="0"/>
          <w:sz w:val="32"/>
          <w:szCs w:val="32"/>
          <w:highlight w:val="none"/>
        </w:rPr>
        <w:t>第六条【鼓励提倡】</w:t>
      </w:r>
      <w:bookmarkStart w:id="0" w:name="OLE_LINK1"/>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支持和鼓励涉犬行业协会和动物保护组织等社会组织的设立、发展以及参与养犬管理活动。</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bCs/>
          <w:kern w:val="0"/>
          <w:sz w:val="32"/>
          <w:szCs w:val="32"/>
          <w:highlight w:val="none"/>
        </w:rPr>
      </w:pPr>
      <w:r>
        <w:rPr>
          <w:rFonts w:hint="default" w:ascii="Times New Roman" w:hAnsi="Times New Roman" w:eastAsia="仿宋_GB2312" w:cs="Times New Roman"/>
          <w:kern w:val="0"/>
          <w:sz w:val="32"/>
          <w:szCs w:val="32"/>
          <w:highlight w:val="none"/>
        </w:rPr>
        <w:t>任何单位和个人均有权对违反本规定的行为进行劝阻、投诉、举报。</w:t>
      </w:r>
    </w:p>
    <w:bookmarkEnd w:id="0"/>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黑体" w:hAnsi="黑体" w:eastAsia="黑体" w:cs="黑体"/>
          <w:kern w:val="0"/>
          <w:sz w:val="32"/>
          <w:szCs w:val="32"/>
          <w:highlight w:val="none"/>
        </w:rPr>
        <w:t>第七条【信息化管理】</w:t>
      </w:r>
      <w:bookmarkStart w:id="1" w:name="OLE_LINK2"/>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市综合行政执法部门应当建立全市统一的</w:t>
      </w:r>
      <w:bookmarkStart w:id="2" w:name="_Hlk203561568"/>
      <w:r>
        <w:rPr>
          <w:rFonts w:hint="default" w:ascii="Times New Roman" w:hAnsi="Times New Roman" w:eastAsia="仿宋_GB2312" w:cs="Times New Roman"/>
          <w:kern w:val="0"/>
          <w:sz w:val="32"/>
          <w:szCs w:val="32"/>
          <w:highlight w:val="none"/>
        </w:rPr>
        <w:t>养犬管理服务信息系统</w:t>
      </w:r>
      <w:bookmarkEnd w:id="2"/>
      <w:r>
        <w:rPr>
          <w:rFonts w:hint="default" w:ascii="Times New Roman" w:hAnsi="Times New Roman" w:eastAsia="仿宋_GB2312" w:cs="Times New Roman"/>
          <w:kern w:val="0"/>
          <w:sz w:val="32"/>
          <w:szCs w:val="32"/>
          <w:highlight w:val="none"/>
        </w:rPr>
        <w:t>，为社会公众提供相关管理和服务信息。</w:t>
      </w:r>
    </w:p>
    <w:bookmarkEnd w:id="1"/>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市、区人民政府各部门将在履行职责过程中形成与犬只管理相关的信息及时录入系统，实现免疫、登记、监管等信息共享。</w:t>
      </w:r>
    </w:p>
    <w:p>
      <w:pPr>
        <w:pStyle w:val="2"/>
        <w:keepNext w:val="0"/>
        <w:keepLines w:val="0"/>
        <w:pageBreakBefore w:val="0"/>
        <w:widowControl w:val="0"/>
        <w:kinsoku/>
        <w:wordWrap/>
        <w:overflowPunct/>
        <w:topLinePunct w:val="0"/>
        <w:autoSpaceDE/>
        <w:autoSpaceDN/>
        <w:bidi w:val="0"/>
        <w:adjustRightInd/>
        <w:snapToGrid/>
        <w:spacing w:after="0" w:line="578" w:lineRule="exact"/>
        <w:textAlignment w:val="auto"/>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78" w:lineRule="exact"/>
        <w:jc w:val="center"/>
        <w:textAlignment w:val="auto"/>
        <w:rPr>
          <w:rFonts w:hint="default" w:ascii="黑体" w:hAnsi="黑体" w:eastAsia="黑体" w:cs="黑体"/>
          <w:kern w:val="0"/>
          <w:sz w:val="32"/>
          <w:szCs w:val="32"/>
          <w:highlight w:val="none"/>
        </w:rPr>
      </w:pPr>
      <w:r>
        <w:rPr>
          <w:rFonts w:hint="default" w:ascii="黑体" w:hAnsi="黑体" w:eastAsia="黑体" w:cs="黑体"/>
          <w:kern w:val="0"/>
          <w:sz w:val="32"/>
          <w:szCs w:val="32"/>
          <w:highlight w:val="none"/>
        </w:rPr>
        <w:t xml:space="preserve">第二章 </w:t>
      </w:r>
      <w:r>
        <w:rPr>
          <w:rFonts w:hint="default" w:ascii="黑体" w:hAnsi="黑体" w:eastAsia="黑体" w:cs="黑体"/>
          <w:kern w:val="0"/>
          <w:sz w:val="32"/>
          <w:szCs w:val="32"/>
          <w:highlight w:val="none"/>
          <w:lang w:val="en-US" w:eastAsia="zh-CN"/>
        </w:rPr>
        <w:t xml:space="preserve"> </w:t>
      </w:r>
      <w:r>
        <w:rPr>
          <w:rFonts w:hint="default" w:ascii="黑体" w:hAnsi="黑体" w:eastAsia="黑体" w:cs="黑体"/>
          <w:kern w:val="0"/>
          <w:sz w:val="32"/>
          <w:szCs w:val="32"/>
          <w:highlight w:val="none"/>
        </w:rPr>
        <w:t>分区域管理</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黑体" w:hAnsi="黑体" w:eastAsia="黑体" w:cs="黑体"/>
          <w:kern w:val="0"/>
          <w:sz w:val="32"/>
          <w:szCs w:val="32"/>
          <w:highlight w:val="none"/>
        </w:rPr>
        <w:t>第八条【分区域管理】</w:t>
      </w: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本市按照禁养区、严格管理区和一般管理区实行分区域养犬管理。</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黑体" w:hAnsi="黑体" w:eastAsia="黑体" w:cs="黑体"/>
          <w:kern w:val="0"/>
          <w:sz w:val="32"/>
          <w:szCs w:val="32"/>
          <w:highlight w:val="none"/>
        </w:rPr>
        <w:t>第九条【禁养区】</w:t>
      </w: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禁养区是指党政机关办公区、医疗机构（动物诊疗机构除外）、学校教学区（开设宠物相关专业的学校除外）、学校宿舍区、幼儿园，以及市人民政府划定并向社会公布的其他禁养区。</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禁养区不得饲养、繁殖、携带、经营任何犬只。</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黑体" w:hAnsi="黑体" w:eastAsia="黑体" w:cs="黑体"/>
          <w:kern w:val="0"/>
          <w:sz w:val="32"/>
          <w:szCs w:val="32"/>
          <w:highlight w:val="none"/>
        </w:rPr>
        <w:t>第十条【严格管理区】</w:t>
      </w:r>
      <w:bookmarkStart w:id="3" w:name="OLE_LINK13"/>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严格管理区是指</w:t>
      </w:r>
      <w:bookmarkEnd w:id="3"/>
      <w:r>
        <w:rPr>
          <w:rFonts w:hint="default" w:ascii="Times New Roman" w:hAnsi="Times New Roman" w:eastAsia="仿宋_GB2312" w:cs="Times New Roman"/>
          <w:kern w:val="0"/>
          <w:sz w:val="32"/>
          <w:szCs w:val="32"/>
          <w:highlight w:val="none"/>
        </w:rPr>
        <w:t>本市城市建成区和实行城市化管理的区域。严格管理区的具体范围，由市人民政府划定，并向社会公布。</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严格管理区内不得饲养、繁殖、携带、经营危险犬只。</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危险犬只名录由市综合行政执法部门会同市农业农村</w:t>
      </w:r>
      <w:r>
        <w:rPr>
          <w:rFonts w:hint="default" w:ascii="Times New Roman" w:hAnsi="Times New Roman" w:eastAsia="仿宋_GB2312" w:cs="Times New Roman"/>
          <w:kern w:val="0"/>
          <w:sz w:val="32"/>
          <w:szCs w:val="32"/>
          <w:highlight w:val="none"/>
          <w:lang w:eastAsia="zh-CN"/>
        </w:rPr>
        <w:t>主管</w:t>
      </w:r>
      <w:r>
        <w:rPr>
          <w:rFonts w:hint="default" w:ascii="Times New Roman" w:hAnsi="Times New Roman" w:eastAsia="仿宋_GB2312" w:cs="Times New Roman"/>
          <w:kern w:val="0"/>
          <w:sz w:val="32"/>
          <w:szCs w:val="32"/>
          <w:highlight w:val="none"/>
        </w:rPr>
        <w:t>部门、公安机关拟定，报市人民政府批准后向社会公布。</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b/>
          <w:bCs/>
          <w:kern w:val="0"/>
          <w:sz w:val="32"/>
          <w:szCs w:val="32"/>
          <w:highlight w:val="none"/>
        </w:rPr>
      </w:pPr>
      <w:r>
        <w:rPr>
          <w:rFonts w:hint="default" w:ascii="Times New Roman" w:hAnsi="Times New Roman" w:eastAsia="仿宋_GB2312" w:cs="Times New Roman"/>
          <w:kern w:val="0"/>
          <w:sz w:val="32"/>
          <w:szCs w:val="32"/>
          <w:highlight w:val="none"/>
        </w:rPr>
        <w:t>本规定施行前，严格管理区的养犬人已经饲养的危险犬只，自本规定施行之日起九十日内迁出严格管理区或者送交犬只收容场所。</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黑体" w:hAnsi="黑体" w:eastAsia="黑体" w:cs="黑体"/>
          <w:kern w:val="0"/>
          <w:sz w:val="32"/>
          <w:szCs w:val="32"/>
          <w:highlight w:val="none"/>
        </w:rPr>
        <w:t>第十一条【一般管理区】</w:t>
      </w: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一般管理区是指禁养区和严格管理区以外的区域。</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黑体" w:hAnsi="黑体" w:eastAsia="黑体" w:cs="黑体"/>
          <w:kern w:val="0"/>
          <w:sz w:val="32"/>
          <w:szCs w:val="32"/>
          <w:highlight w:val="none"/>
        </w:rPr>
        <w:t>第十二条【数量限制】</w:t>
      </w: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个人养犬的，以户为单位，在严格管理区每户限养一只非危险犬只；在一般管理区饲养危险犬只的，每户限养一只。</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本规定施行前，严格管理区内饲养的非危险犬只、一般管理区内饲养的危险犬只超过限养数量的，养犬人自本规定施行之日起九十日内依法办理养犬登记的，可以继续饲养；已登记的犬只出现死亡、丢失未找回或者完成过户登记等情形</w:t>
      </w:r>
      <w:r>
        <w:rPr>
          <w:rFonts w:hint="default" w:ascii="Times New Roman" w:hAnsi="Times New Roman" w:eastAsia="仿宋_GB2312" w:cs="Times New Roman"/>
          <w:kern w:val="0"/>
          <w:sz w:val="32"/>
          <w:szCs w:val="32"/>
          <w:highlight w:val="none"/>
          <w:lang w:eastAsia="zh-CN"/>
        </w:rPr>
        <w:t>的</w:t>
      </w:r>
      <w:r>
        <w:rPr>
          <w:rFonts w:hint="default" w:ascii="Times New Roman" w:hAnsi="Times New Roman" w:eastAsia="仿宋_GB2312" w:cs="Times New Roman"/>
          <w:kern w:val="0"/>
          <w:sz w:val="32"/>
          <w:szCs w:val="32"/>
          <w:highlight w:val="none"/>
        </w:rPr>
        <w:t>，养犬人申请新增犬只登记时，适用前款规定。</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个人饲养的母犬繁育幼犬的，养犬人应当自幼犬出生满三个月龄时，将超过限养数量的犬只迁出、送交犬只收容场所或者送交符合养犬条件的其他个人、单位饲养。</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鼓励养犬人对饲养的犬只实施绝育措施。</w:t>
      </w:r>
    </w:p>
    <w:p>
      <w:pPr>
        <w:keepNext w:val="0"/>
        <w:keepLines w:val="0"/>
        <w:pageBreakBefore w:val="0"/>
        <w:widowControl w:val="0"/>
        <w:kinsoku/>
        <w:wordWrap/>
        <w:overflowPunct/>
        <w:topLinePunct w:val="0"/>
        <w:autoSpaceDE/>
        <w:autoSpaceDN/>
        <w:bidi w:val="0"/>
        <w:adjustRightInd/>
        <w:snapToGrid/>
        <w:spacing w:after="0" w:line="578" w:lineRule="exact"/>
        <w:jc w:val="center"/>
        <w:textAlignment w:val="auto"/>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78" w:lineRule="exact"/>
        <w:jc w:val="center"/>
        <w:textAlignment w:val="auto"/>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 xml:space="preserve">第三章 </w:t>
      </w:r>
      <w:r>
        <w:rPr>
          <w:rFonts w:hint="eastAsia" w:ascii="黑体" w:hAnsi="黑体" w:eastAsia="黑体" w:cs="黑体"/>
          <w:kern w:val="0"/>
          <w:sz w:val="32"/>
          <w:szCs w:val="32"/>
          <w:highlight w:val="none"/>
          <w:lang w:val="en-US" w:eastAsia="zh-CN"/>
        </w:rPr>
        <w:t xml:space="preserve"> </w:t>
      </w:r>
      <w:r>
        <w:rPr>
          <w:rFonts w:hint="eastAsia" w:ascii="黑体" w:hAnsi="黑体" w:eastAsia="黑体" w:cs="黑体"/>
          <w:kern w:val="0"/>
          <w:sz w:val="32"/>
          <w:szCs w:val="32"/>
          <w:highlight w:val="none"/>
        </w:rPr>
        <w:t>免疫、登记</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bookmarkStart w:id="4" w:name="OLE_LINK5"/>
      <w:bookmarkStart w:id="5" w:name="OLE_LINK10"/>
      <w:r>
        <w:rPr>
          <w:rFonts w:hint="default" w:ascii="黑体" w:hAnsi="黑体" w:eastAsia="黑体" w:cs="黑体"/>
          <w:kern w:val="0"/>
          <w:sz w:val="32"/>
          <w:szCs w:val="32"/>
          <w:highlight w:val="none"/>
        </w:rPr>
        <w:t>第十三条【免疫接种】</w:t>
      </w: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本市行政区域内实行犬只狂犬病全面免疫接种制度。养犬人应当在下列时限内，将犬只送至农业农村</w:t>
      </w:r>
      <w:r>
        <w:rPr>
          <w:rFonts w:hint="default" w:ascii="Times New Roman" w:hAnsi="Times New Roman" w:eastAsia="仿宋_GB2312" w:cs="Times New Roman"/>
          <w:kern w:val="0"/>
          <w:sz w:val="32"/>
          <w:szCs w:val="32"/>
          <w:highlight w:val="none"/>
          <w:lang w:eastAsia="zh-CN"/>
        </w:rPr>
        <w:t>主管</w:t>
      </w:r>
      <w:r>
        <w:rPr>
          <w:rFonts w:hint="default" w:ascii="Times New Roman" w:hAnsi="Times New Roman" w:eastAsia="仿宋_GB2312" w:cs="Times New Roman"/>
          <w:kern w:val="0"/>
          <w:sz w:val="32"/>
          <w:szCs w:val="32"/>
          <w:highlight w:val="none"/>
        </w:rPr>
        <w:t>部门公布的免疫接种点</w:t>
      </w:r>
      <w:bookmarkEnd w:id="4"/>
      <w:r>
        <w:rPr>
          <w:rFonts w:hint="default" w:ascii="Times New Roman" w:hAnsi="Times New Roman" w:eastAsia="仿宋_GB2312" w:cs="Times New Roman"/>
          <w:kern w:val="0"/>
          <w:sz w:val="32"/>
          <w:szCs w:val="32"/>
          <w:highlight w:val="none"/>
        </w:rPr>
        <w:t>，为犬只接种狂犬病疫苗，取得犬只狂犬病免疫证明：</w:t>
      </w:r>
    </w:p>
    <w:bookmarkEnd w:id="5"/>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仿宋_GB2312" w:cs="Times New Roman"/>
          <w:b w:val="0"/>
          <w:bCs w:val="0"/>
          <w:kern w:val="0"/>
          <w:sz w:val="32"/>
          <w:szCs w:val="32"/>
          <w:highlight w:val="none"/>
        </w:rPr>
      </w:pPr>
      <w:r>
        <w:rPr>
          <w:rFonts w:hint="default" w:ascii="Times New Roman" w:hAnsi="Times New Roman" w:eastAsia="仿宋_GB2312" w:cs="Times New Roman"/>
          <w:b w:val="0"/>
          <w:bCs w:val="0"/>
          <w:kern w:val="0"/>
          <w:sz w:val="32"/>
          <w:szCs w:val="32"/>
          <w:highlight w:val="none"/>
        </w:rPr>
        <w:t>（一）自幼犬出生满三个月龄后十五日内；</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仿宋_GB2312" w:cs="Times New Roman"/>
          <w:b w:val="0"/>
          <w:bCs w:val="0"/>
          <w:kern w:val="0"/>
          <w:sz w:val="32"/>
          <w:szCs w:val="32"/>
          <w:highlight w:val="none"/>
        </w:rPr>
      </w:pPr>
      <w:r>
        <w:rPr>
          <w:rFonts w:hint="default" w:ascii="Times New Roman" w:hAnsi="Times New Roman" w:eastAsia="仿宋_GB2312" w:cs="Times New Roman"/>
          <w:b w:val="0"/>
          <w:bCs w:val="0"/>
          <w:kern w:val="0"/>
          <w:sz w:val="32"/>
          <w:szCs w:val="32"/>
          <w:highlight w:val="none"/>
        </w:rPr>
        <w:t>（二）已经实施狂犬病免疫接种的犬只在免疫间隔期满前；</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仿宋_GB2312" w:cs="Times New Roman"/>
          <w:b w:val="0"/>
          <w:bCs w:val="0"/>
          <w:kern w:val="0"/>
          <w:sz w:val="32"/>
          <w:szCs w:val="32"/>
          <w:highlight w:val="none"/>
        </w:rPr>
      </w:pPr>
      <w:r>
        <w:rPr>
          <w:rFonts w:hint="default" w:ascii="Times New Roman" w:hAnsi="Times New Roman" w:eastAsia="仿宋_GB2312" w:cs="Times New Roman"/>
          <w:b w:val="0"/>
          <w:bCs w:val="0"/>
          <w:kern w:val="0"/>
          <w:sz w:val="32"/>
          <w:szCs w:val="32"/>
          <w:highlight w:val="none"/>
        </w:rPr>
        <w:t>（三）其他未实施狂犬病免疫接种的犬只，自取得犬只之日起十五日内。</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仿宋_GB2312" w:cs="Times New Roman"/>
          <w:b w:val="0"/>
          <w:bCs w:val="0"/>
          <w:kern w:val="0"/>
          <w:sz w:val="32"/>
          <w:szCs w:val="32"/>
          <w:highlight w:val="none"/>
        </w:rPr>
      </w:pPr>
      <w:r>
        <w:rPr>
          <w:rFonts w:hint="default" w:ascii="Times New Roman" w:hAnsi="Times New Roman" w:eastAsia="仿宋_GB2312" w:cs="Times New Roman"/>
          <w:b w:val="0"/>
          <w:bCs w:val="0"/>
          <w:kern w:val="0"/>
          <w:sz w:val="32"/>
          <w:szCs w:val="32"/>
          <w:highlight w:val="none"/>
        </w:rPr>
        <w:t>免疫接种点负责将犬只免疫信息录入养犬管理服务信息系统。</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8"/>
        <w:jc w:val="left"/>
        <w:textAlignment w:val="auto"/>
        <w:rPr>
          <w:rFonts w:hint="default" w:ascii="Times New Roman" w:hAnsi="Times New Roman" w:eastAsia="仿宋_GB2312" w:cs="Times New Roman"/>
          <w:b w:val="0"/>
          <w:bCs w:val="0"/>
          <w:kern w:val="0"/>
          <w:sz w:val="32"/>
          <w:szCs w:val="32"/>
          <w:highlight w:val="none"/>
        </w:rPr>
      </w:pPr>
      <w:bookmarkStart w:id="6" w:name="OLE_LINK11"/>
      <w:r>
        <w:rPr>
          <w:rFonts w:hint="default" w:ascii="黑体" w:hAnsi="黑体" w:eastAsia="黑体" w:cs="黑体"/>
          <w:b w:val="0"/>
          <w:bCs w:val="0"/>
          <w:kern w:val="0"/>
          <w:sz w:val="32"/>
          <w:szCs w:val="32"/>
          <w:highlight w:val="none"/>
          <w:lang w:val="en-US" w:eastAsia="zh-CN" w:bidi="ar-SA"/>
        </w:rPr>
        <w:t>第十四条【登记】</w:t>
      </w:r>
      <w:bookmarkStart w:id="7" w:name="OLE_LINK9"/>
      <w:r>
        <w:rPr>
          <w:rFonts w:hint="default" w:ascii="Times New Roman" w:hAnsi="Times New Roman" w:eastAsia="仿宋_GB2312" w:cs="Times New Roman"/>
          <w:b w:val="0"/>
          <w:bCs w:val="0"/>
          <w:kern w:val="0"/>
          <w:sz w:val="32"/>
          <w:szCs w:val="32"/>
          <w:highlight w:val="none"/>
          <w:lang w:val="en-US" w:eastAsia="zh-CN"/>
        </w:rPr>
        <w:t xml:space="preserve"> </w:t>
      </w:r>
      <w:r>
        <w:rPr>
          <w:rFonts w:hint="default" w:ascii="Times New Roman" w:hAnsi="Times New Roman" w:eastAsia="仿宋_GB2312" w:cs="Times New Roman"/>
          <w:b w:val="0"/>
          <w:bCs w:val="0"/>
          <w:kern w:val="0"/>
          <w:sz w:val="32"/>
          <w:szCs w:val="32"/>
          <w:highlight w:val="none"/>
        </w:rPr>
        <w:t>严格管理区内饲养非危险犬只、一般管理区内饲养危险犬只的，养犬人应当自取得犬只狂犬病免疫证明之日起三十日内，通过养犬管理服务信息系统或者向养犬人所在地的综合行政执法部门申请办理养犬登记。</w:t>
      </w:r>
    </w:p>
    <w:bookmarkEnd w:id="6"/>
    <w:bookmarkEnd w:id="7"/>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鼓励一般管理区域内的养犬人为非危险犬只办理养犬登记。</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涉犬行业协会、动物保护组织等社会组织应当根据本规定为其救助留养的犬只办理养犬登记。</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黑体" w:hAnsi="黑体" w:eastAsia="黑体" w:cs="黑体"/>
          <w:kern w:val="0"/>
          <w:sz w:val="32"/>
          <w:szCs w:val="32"/>
          <w:highlight w:val="none"/>
        </w:rPr>
        <w:t>第十五条【登记条件】</w:t>
      </w: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养犬人申请养犬登记，应当符合下列条件：</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（一）个人具有完全民事行为能力，单位能够独立承担法律责任；</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（二）个人有固定住所，单位有独立场所且有犬笼、犬舍或者围墙等圈养设施；</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（三）已按照规定对犬只进行狂犬病免疫；</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（四）饲养区域、犬只的品种和数量符合本规定；</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（五）法律、法规规定的其他条件。</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黑体" w:hAnsi="黑体" w:eastAsia="黑体" w:cs="黑体"/>
          <w:kern w:val="0"/>
          <w:sz w:val="32"/>
          <w:szCs w:val="32"/>
          <w:highlight w:val="none"/>
        </w:rPr>
        <w:t>第十六条【登记资料】</w:t>
      </w: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养犬人申请养犬登记，应当填写养犬登记申请表，并提供下列材料：</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bookmarkStart w:id="8" w:name="OLE_LINK12"/>
      <w:r>
        <w:rPr>
          <w:rFonts w:hint="default" w:ascii="Times New Roman" w:hAnsi="Times New Roman" w:eastAsia="仿宋_GB2312" w:cs="Times New Roman"/>
          <w:kern w:val="0"/>
          <w:sz w:val="32"/>
          <w:szCs w:val="32"/>
          <w:highlight w:val="none"/>
        </w:rPr>
        <w:t>（一）个人身份证明，或者单位主体资格证明、法定代表人或者单位负责人身份证明；</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（二）不动产登记证、房屋租赁合同或者其他合法使用场所的证明，单位还应当提供养犬设施佐证材料；</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（三）合法有效的犬只狂犬病免疫证明；</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（四）犬只近期正面、侧身彩色照片；</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（五）依法文明养犬承诺书；</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（六）法律、法规规定的其他材料。</w:t>
      </w:r>
    </w:p>
    <w:bookmarkEnd w:id="8"/>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黑体" w:hAnsi="黑体" w:eastAsia="黑体" w:cs="黑体"/>
          <w:kern w:val="0"/>
          <w:sz w:val="32"/>
          <w:szCs w:val="32"/>
          <w:highlight w:val="none"/>
        </w:rPr>
        <w:t>第十七条【登记审核】</w:t>
      </w: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综合行政执法部门应当自收到犬只登记申请之日起三个工作日内完成审核。</w:t>
      </w:r>
      <w:bookmarkStart w:id="9" w:name="OLE_LINK4"/>
      <w:r>
        <w:rPr>
          <w:rFonts w:hint="default" w:ascii="Times New Roman" w:hAnsi="Times New Roman" w:eastAsia="仿宋_GB2312" w:cs="Times New Roman"/>
          <w:kern w:val="0"/>
          <w:sz w:val="32"/>
          <w:szCs w:val="32"/>
          <w:highlight w:val="none"/>
        </w:rPr>
        <w:t>符合登记条件的，予以登记，发放电子养犬登记证和犬牌</w:t>
      </w:r>
      <w:bookmarkEnd w:id="9"/>
      <w:r>
        <w:rPr>
          <w:rFonts w:hint="default" w:ascii="Times New Roman" w:hAnsi="Times New Roman" w:eastAsia="仿宋_GB2312" w:cs="Times New Roman"/>
          <w:kern w:val="0"/>
          <w:sz w:val="32"/>
          <w:szCs w:val="32"/>
          <w:highlight w:val="none"/>
        </w:rPr>
        <w:t>，并对犬只植入电子识别标识；不符合登记条件的，不予登记，说明理由，并告知申请人三十日内将犬只送交符合养犬条件的其他个人、单位饲养或者送交犬只收容场所。</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left"/>
        <w:textAlignment w:val="auto"/>
        <w:rPr>
          <w:rFonts w:hint="default" w:ascii="Times New Roman" w:hAnsi="Times New Roman" w:eastAsia="仿宋_GB2312" w:cs="Times New Roman"/>
          <w:b w:val="0"/>
          <w:bCs w:val="0"/>
          <w:kern w:val="0"/>
          <w:sz w:val="32"/>
          <w:szCs w:val="32"/>
          <w:highlight w:val="none"/>
        </w:rPr>
      </w:pPr>
      <w:r>
        <w:rPr>
          <w:rFonts w:hint="default" w:ascii="Times New Roman" w:hAnsi="Times New Roman" w:eastAsia="仿宋_GB2312" w:cs="Times New Roman"/>
          <w:b w:val="0"/>
          <w:bCs w:val="0"/>
          <w:kern w:val="0"/>
          <w:sz w:val="32"/>
          <w:szCs w:val="32"/>
          <w:highlight w:val="none"/>
        </w:rPr>
        <w:t>综合行政执法部门加强与农业农村</w:t>
      </w:r>
      <w:r>
        <w:rPr>
          <w:rFonts w:hint="default" w:ascii="Times New Roman" w:hAnsi="Times New Roman" w:eastAsia="仿宋_GB2312" w:cs="Times New Roman"/>
          <w:b w:val="0"/>
          <w:bCs w:val="0"/>
          <w:kern w:val="0"/>
          <w:sz w:val="32"/>
          <w:szCs w:val="32"/>
          <w:highlight w:val="none"/>
          <w:lang w:eastAsia="zh-CN"/>
        </w:rPr>
        <w:t>主管</w:t>
      </w:r>
      <w:r>
        <w:rPr>
          <w:rFonts w:hint="default" w:ascii="Times New Roman" w:hAnsi="Times New Roman" w:eastAsia="仿宋_GB2312" w:cs="Times New Roman"/>
          <w:b w:val="0"/>
          <w:bCs w:val="0"/>
          <w:kern w:val="0"/>
          <w:sz w:val="32"/>
          <w:szCs w:val="32"/>
          <w:highlight w:val="none"/>
        </w:rPr>
        <w:t>部门协作，通过免疫接种点实施犬牌发放、犬只电子识别标识植入工作及将相关识别信息录入养犬管理服务信息系统。</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left"/>
        <w:textAlignment w:val="auto"/>
        <w:rPr>
          <w:rFonts w:hint="default" w:ascii="Times New Roman" w:hAnsi="Times New Roman" w:eastAsia="仿宋_GB2312" w:cs="Times New Roman"/>
          <w:b w:val="0"/>
          <w:bCs w:val="0"/>
          <w:kern w:val="0"/>
          <w:sz w:val="32"/>
          <w:szCs w:val="32"/>
          <w:highlight w:val="none"/>
        </w:rPr>
      </w:pPr>
      <w:r>
        <w:rPr>
          <w:rFonts w:hint="default" w:ascii="Times New Roman" w:hAnsi="Times New Roman" w:eastAsia="仿宋_GB2312" w:cs="Times New Roman"/>
          <w:b w:val="0"/>
          <w:bCs w:val="0"/>
          <w:kern w:val="0"/>
          <w:sz w:val="32"/>
          <w:szCs w:val="32"/>
          <w:highlight w:val="none"/>
        </w:rPr>
        <w:t>本规定施行前已在本市饲养并且取得犬只狂犬病免疫证明的，养犬人应当自本规定施行之日起九十日内办理养犬登记，并到免疫接种点为犬只植入电子识别标识。</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犬牌和电子识别标识费用由养犬人承担，相关收费标准经市价格主管部门核定后向社会公布。</w:t>
      </w:r>
    </w:p>
    <w:p>
      <w:pPr>
        <w:pStyle w:val="43"/>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黑体" w:hAnsi="黑体" w:eastAsia="黑体" w:cs="黑体"/>
          <w:color w:val="auto"/>
          <w:kern w:val="0"/>
          <w:sz w:val="32"/>
          <w:szCs w:val="32"/>
          <w:highlight w:val="none"/>
          <w:lang w:val="en-US" w:eastAsia="zh-CN" w:bidi="ar-SA"/>
        </w:rPr>
        <w:t>第十八条【变更、注销登记】</w:t>
      </w: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养犬人应当自下列事项发生之日起十五日内通过养犬管理服务信息系统</w:t>
      </w:r>
      <w:r>
        <w:rPr>
          <w:rFonts w:hint="default" w:ascii="Times New Roman" w:hAnsi="Times New Roman" w:eastAsia="仿宋_GB2312" w:cs="Times New Roman"/>
          <w:kern w:val="0"/>
          <w:sz w:val="32"/>
          <w:szCs w:val="32"/>
          <w:highlight w:val="none"/>
        </w:rPr>
        <w:t>或者到养犬人所在地的综合行政执法部门</w:t>
      </w:r>
      <w:r>
        <w:rPr>
          <w:rFonts w:hint="default" w:ascii="Times New Roman" w:hAnsi="Times New Roman" w:eastAsia="仿宋_GB2312" w:cs="Times New Roman"/>
          <w:color w:val="auto"/>
          <w:kern w:val="0"/>
          <w:sz w:val="32"/>
          <w:szCs w:val="32"/>
          <w:highlight w:val="none"/>
        </w:rPr>
        <w:t>，办理变更或者注销登记手续：</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（一）养犬人的姓名或者名称、联系方式、住所或者场所等信息变更的，应当办理变更登记；</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（二）转让或者赠与犬只的，变更后的养犬人应当与原养犬人共同办理变更登记；</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（三）放弃饲养犬只的，应当将犬只送交犬只收容场所，并办理注销登记；</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（四）犬只迁出本市且后续不再回本市进行饲养的，应当办理注销登记；</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（五）犬只丢失、死亡或者被没收的，应当办理注销登记。</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黑体" w:hAnsi="黑体" w:eastAsia="黑体" w:cs="黑体"/>
          <w:kern w:val="0"/>
          <w:sz w:val="32"/>
          <w:szCs w:val="32"/>
          <w:highlight w:val="none"/>
        </w:rPr>
        <w:t>第十九条【外地犬、境外犬登记】</w:t>
      </w: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养犬人携带未在本市办理养犬登记的犬只进入本市的，应当持合法有效的犬只狂犬病免疫证明；停留时间超过三十日的，应当按照本规定办理养犬登记，并遵守本规定的分区域管理、犬只数量限制要求。</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left"/>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携带境外犬只进入本市的，应当符合动物进出境检疫的相关规定，并参照前款规定执行。</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黑体" w:hAnsi="黑体" w:eastAsia="黑体" w:cs="黑体"/>
          <w:kern w:val="0"/>
          <w:sz w:val="32"/>
          <w:szCs w:val="32"/>
          <w:highlight w:val="none"/>
        </w:rPr>
        <w:t>第二十条【证件补办】</w:t>
      </w: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犬只狂犬病免疫证明、犬牌、电子识别标识丢失或者损毁的，养犬人应当自发现丢失或者毁损之日起三十日内申请补办、补植。</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黑体" w:hAnsi="黑体" w:eastAsia="黑体" w:cs="黑体"/>
          <w:kern w:val="0"/>
          <w:sz w:val="32"/>
          <w:szCs w:val="32"/>
          <w:highlight w:val="none"/>
        </w:rPr>
        <w:t>第二十一条【违法登记】</w:t>
      </w: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禁止</w:t>
      </w:r>
      <w:r>
        <w:rPr>
          <w:rFonts w:hint="default" w:ascii="Times New Roman" w:hAnsi="Times New Roman" w:eastAsia="仿宋_GB2312" w:cs="Times New Roman"/>
          <w:bCs/>
          <w:kern w:val="0"/>
          <w:sz w:val="32"/>
          <w:szCs w:val="32"/>
          <w:highlight w:val="none"/>
        </w:rPr>
        <w:t>变造、伪造、涂改、冒用、转让、买卖</w:t>
      </w:r>
      <w:r>
        <w:rPr>
          <w:rFonts w:hint="default" w:ascii="Times New Roman" w:hAnsi="Times New Roman" w:eastAsia="仿宋_GB2312" w:cs="Times New Roman"/>
          <w:kern w:val="0"/>
          <w:sz w:val="32"/>
          <w:szCs w:val="32"/>
          <w:highlight w:val="none"/>
        </w:rPr>
        <w:t>犬只狂犬病免疫证明、养犬登记证和犬牌。</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通过提供虚假材料或者其他不正当手段已办理养犬登记，综合行政执法部门应当撤销登记。</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78" w:lineRule="exact"/>
        <w:jc w:val="center"/>
        <w:textAlignment w:val="auto"/>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 xml:space="preserve">第四章 </w:t>
      </w:r>
      <w:r>
        <w:rPr>
          <w:rFonts w:hint="eastAsia" w:ascii="黑体" w:hAnsi="黑体" w:eastAsia="黑体" w:cs="黑体"/>
          <w:kern w:val="0"/>
          <w:sz w:val="32"/>
          <w:szCs w:val="32"/>
          <w:highlight w:val="none"/>
          <w:lang w:val="en-US" w:eastAsia="zh-CN"/>
        </w:rPr>
        <w:t xml:space="preserve"> </w:t>
      </w:r>
      <w:r>
        <w:rPr>
          <w:rFonts w:hint="eastAsia" w:ascii="黑体" w:hAnsi="黑体" w:eastAsia="黑体" w:cs="黑体"/>
          <w:kern w:val="0"/>
          <w:sz w:val="32"/>
          <w:szCs w:val="32"/>
          <w:highlight w:val="none"/>
        </w:rPr>
        <w:t>养犬行为规范</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黑体" w:hAnsi="黑体" w:eastAsia="黑体" w:cs="黑体"/>
          <w:kern w:val="0"/>
          <w:sz w:val="32"/>
          <w:szCs w:val="32"/>
          <w:highlight w:val="none"/>
        </w:rPr>
        <w:t>第二十二条【养犬人义务】</w:t>
      </w: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养犬人应当依法文明养犬，遵守下列规定：</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（一）按照规定对犬只进行狂犬病免疫和办理养犬登记；</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（二）为犬只提供必要的饮食条件、活动空间和生活环境，不得占用楼道等公共区域饲养犬只；</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（三）不得放任犬吠影响他人正常生活；</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（四）不得放任、驱使犬只恐吓、伤害他人；</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（五）不得遗弃、虐待犬只；</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（六）法律、法规的其他规定。</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养犬人应当对一般管理区饲养的危险犬只进行圈养或者拴养，其他犬只提倡拴养。</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黑体" w:hAnsi="黑体" w:eastAsia="黑体" w:cs="黑体"/>
          <w:kern w:val="0"/>
          <w:sz w:val="32"/>
          <w:szCs w:val="32"/>
          <w:highlight w:val="none"/>
        </w:rPr>
        <w:t>第二十三条【携犬外出要求】</w:t>
      </w: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携犬外出应当遵守下列规定：</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bCs/>
          <w:kern w:val="0"/>
          <w:sz w:val="32"/>
          <w:szCs w:val="32"/>
          <w:highlight w:val="none"/>
        </w:rPr>
      </w:pPr>
      <w:r>
        <w:rPr>
          <w:rFonts w:hint="default" w:ascii="Times New Roman" w:hAnsi="Times New Roman" w:eastAsia="仿宋_GB2312" w:cs="Times New Roman"/>
          <w:kern w:val="0"/>
          <w:sz w:val="32"/>
          <w:szCs w:val="32"/>
          <w:highlight w:val="none"/>
        </w:rPr>
        <w:t>（一）由</w:t>
      </w:r>
      <w:r>
        <w:rPr>
          <w:rFonts w:hint="default" w:ascii="Times New Roman" w:hAnsi="Times New Roman" w:eastAsia="仿宋_GB2312" w:cs="Times New Roman"/>
          <w:bCs/>
          <w:kern w:val="0"/>
          <w:sz w:val="32"/>
          <w:szCs w:val="32"/>
          <w:highlight w:val="none"/>
        </w:rPr>
        <w:t>完全民事行为能力人用束犬链（绳）牵领，犬链（绳）</w:t>
      </w:r>
      <w:r>
        <w:rPr>
          <w:rFonts w:hint="default" w:ascii="Times New Roman" w:hAnsi="Times New Roman" w:eastAsia="仿宋_GB2312" w:cs="Times New Roman"/>
          <w:kern w:val="0"/>
          <w:sz w:val="32"/>
          <w:szCs w:val="32"/>
          <w:highlight w:val="none"/>
        </w:rPr>
        <w:t>长度不超过1.5米</w:t>
      </w:r>
      <w:r>
        <w:rPr>
          <w:rFonts w:hint="default" w:ascii="Times New Roman" w:hAnsi="Times New Roman" w:eastAsia="仿宋_GB2312" w:cs="Times New Roman"/>
          <w:bCs/>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（二）严格管理区内的非危险犬只或者一般管理区内的危险犬只外出，应当佩戴犬牌；</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（三）及时清理犬只在公共场所的排泄物，不得影响公共环境卫生；</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（四）主动避让行人，特别是老年人、残疾人、孕妇和儿童；</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（五）在楼道、电梯及其他拥挤场合，应当收紧犬绳（链）、为犬只佩戴嘴套、怀抱犬只或者采取其他安全防护措施；</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（六）不得携犬乘坐公共汽车、有轨电车等公共交通工具，携犬乘坐出租汽车的，应当征得驾驶人员和同乘人员同意；</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（七）法律、法规的其他规定。</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在一般管理区携带危险犬只外出的，除遵守前款规定外，还应当选择人少的空旷区域，携带危险犬只进入楼道、电梯时，应当为犬只佩戴嘴套。</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bookmarkStart w:id="10" w:name="OLE_LINK8"/>
      <w:r>
        <w:rPr>
          <w:rFonts w:hint="default" w:ascii="黑体" w:hAnsi="黑体" w:eastAsia="黑体" w:cs="黑体"/>
          <w:kern w:val="0"/>
          <w:sz w:val="32"/>
          <w:szCs w:val="32"/>
          <w:highlight w:val="none"/>
        </w:rPr>
        <w:t>第二十四条【禁入场所</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下列场所，除专门为犬只提供服务的区域外，禁止携带犬只进入：</w:t>
      </w:r>
    </w:p>
    <w:bookmarkEnd w:id="10"/>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（一）展览馆、图书馆、博物馆、档案馆、文化馆、艺术馆、体育场（馆）、游泳场（馆）等公共文化、体育和娱乐场所；</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（二）文物保护单位、宗教活动场所；</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（三）市人民政府划定并向社会公布的其他禁入场所。</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前款规定以外的单位和场所管理者可以自主决定是否允许携带犬只进入其管理的场所。禁止犬只进入的单位和场所，其管理者应当在入口处设置明显的禁入标识或者说明，并履行劝阻职责。允许犬只进入的单位和场所，应当做好安全警示、保障工作。</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黑体" w:hAnsi="黑体" w:eastAsia="黑体" w:cs="黑体"/>
          <w:kern w:val="0"/>
          <w:sz w:val="32"/>
          <w:szCs w:val="32"/>
          <w:highlight w:val="none"/>
        </w:rPr>
        <w:t>第二十五条【鼓励开设犬只活动区域】</w:t>
      </w: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鼓励有条件的公园管理服务单位在公园内开设非危险犬只活动公共区域，配备相应的环境卫生设施，并在显著位置公示入园规则、安全提示等信息。</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黑体" w:hAnsi="黑体" w:eastAsia="黑体" w:cs="黑体"/>
          <w:kern w:val="0"/>
          <w:sz w:val="32"/>
          <w:szCs w:val="32"/>
          <w:highlight w:val="none"/>
        </w:rPr>
        <w:t>第二十六条【犬只伤人】</w:t>
      </w: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bCs/>
          <w:kern w:val="0"/>
          <w:sz w:val="32"/>
          <w:szCs w:val="32"/>
          <w:highlight w:val="none"/>
        </w:rPr>
        <w:t>公民正在受到犬只的人身伤害时，可以采取必要的防卫措施。</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犬只伤害他人的，养犬人或者携犬人应当立即将受害人送至医疗机构诊治，接种人用狂犬病疫苗，并依法承担责任。</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有关部门根据情况依法对犬只采取必要紧急措施的，养犬人应当配合，不得隐匿、转移伤人犬只。</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Cs/>
          <w:color w:val="000000" w:themeColor="text1"/>
          <w:kern w:val="0"/>
          <w:sz w:val="32"/>
          <w:szCs w:val="32"/>
          <w:highlight w:val="none"/>
          <w:lang w:eastAsia="zh-CN"/>
          <w14:textFill>
            <w14:solidFill>
              <w14:schemeClr w14:val="tx1"/>
            </w14:solidFill>
          </w14:textFill>
        </w:rPr>
        <w:t>支持保险机构创新养犬相关保险产品和服务，</w:t>
      </w:r>
      <w:r>
        <w:rPr>
          <w:rFonts w:hint="default" w:ascii="Times New Roman" w:hAnsi="Times New Roman" w:eastAsia="仿宋_GB2312" w:cs="Times New Roman"/>
          <w:bCs/>
          <w:color w:val="000000" w:themeColor="text1"/>
          <w:kern w:val="0"/>
          <w:sz w:val="32"/>
          <w:szCs w:val="32"/>
          <w:highlight w:val="none"/>
          <w14:textFill>
            <w14:solidFill>
              <w14:schemeClr w14:val="tx1"/>
            </w14:solidFill>
          </w14:textFill>
        </w:rPr>
        <w:t>鼓励养犬人为饲养的犬只购买责任保险。</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bookmarkStart w:id="11" w:name="_Hlk199965217"/>
      <w:bookmarkStart w:id="12" w:name="OLE_LINK7"/>
      <w:r>
        <w:rPr>
          <w:rFonts w:hint="default" w:ascii="黑体" w:hAnsi="黑体" w:eastAsia="黑体" w:cs="黑体"/>
          <w:kern w:val="0"/>
          <w:sz w:val="32"/>
          <w:szCs w:val="32"/>
          <w:highlight w:val="none"/>
        </w:rPr>
        <w:t>第二十七条【无害化处理】</w:t>
      </w: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犬只死亡的，养犬人应当及时对犬尸进行无害化处理。犬只病死或者不明原因死亡的，养犬人应当严格按照动物防疫法及有关规定委托无害化处理场所进行无害化处理，不得擅自掩埋或者买卖。</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禁止将犬尸随意丢弃或者混入生活垃圾。</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无主犬尸体由所在区人民政府组织收集，送交无害化处理场所进行处理。</w:t>
      </w:r>
    </w:p>
    <w:bookmarkEnd w:id="11"/>
    <w:p>
      <w:pPr>
        <w:keepNext w:val="0"/>
        <w:keepLines w:val="0"/>
        <w:pageBreakBefore w:val="0"/>
        <w:widowControl w:val="0"/>
        <w:kinsoku/>
        <w:wordWrap/>
        <w:overflowPunct/>
        <w:topLinePunct w:val="0"/>
        <w:autoSpaceDE/>
        <w:autoSpaceDN/>
        <w:bidi w:val="0"/>
        <w:adjustRightInd/>
        <w:snapToGrid/>
        <w:spacing w:after="0" w:line="578" w:lineRule="exact"/>
        <w:jc w:val="center"/>
        <w:textAlignment w:val="auto"/>
        <w:rPr>
          <w:rFonts w:hint="default" w:ascii="Times New Roman" w:hAnsi="Times New Roman" w:eastAsia="仿宋_GB2312" w:cs="Times New Roman"/>
          <w:kern w:val="0"/>
          <w:sz w:val="32"/>
          <w:szCs w:val="32"/>
          <w:highlight w:val="none"/>
        </w:rPr>
      </w:pPr>
    </w:p>
    <w:bookmarkEnd w:id="12"/>
    <w:p>
      <w:pPr>
        <w:keepNext w:val="0"/>
        <w:keepLines w:val="0"/>
        <w:pageBreakBefore w:val="0"/>
        <w:widowControl w:val="0"/>
        <w:kinsoku/>
        <w:wordWrap/>
        <w:overflowPunct/>
        <w:topLinePunct w:val="0"/>
        <w:autoSpaceDE/>
        <w:autoSpaceDN/>
        <w:bidi w:val="0"/>
        <w:adjustRightInd/>
        <w:snapToGrid/>
        <w:spacing w:after="0" w:line="578" w:lineRule="exact"/>
        <w:jc w:val="center"/>
        <w:textAlignment w:val="auto"/>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 xml:space="preserve">第五章 </w:t>
      </w:r>
      <w:r>
        <w:rPr>
          <w:rFonts w:hint="eastAsia" w:ascii="黑体" w:hAnsi="黑体" w:eastAsia="黑体" w:cs="黑体"/>
          <w:kern w:val="0"/>
          <w:sz w:val="32"/>
          <w:szCs w:val="32"/>
          <w:highlight w:val="none"/>
          <w:lang w:val="en-US" w:eastAsia="zh-CN"/>
        </w:rPr>
        <w:t xml:space="preserve"> </w:t>
      </w:r>
      <w:r>
        <w:rPr>
          <w:rFonts w:hint="eastAsia" w:ascii="黑体" w:hAnsi="黑体" w:eastAsia="黑体" w:cs="黑体"/>
          <w:kern w:val="0"/>
          <w:sz w:val="32"/>
          <w:szCs w:val="32"/>
          <w:highlight w:val="none"/>
        </w:rPr>
        <w:t>监督管理</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黑体" w:hAnsi="黑体" w:eastAsia="黑体" w:cs="黑体"/>
          <w:kern w:val="0"/>
          <w:sz w:val="32"/>
          <w:szCs w:val="32"/>
          <w:highlight w:val="none"/>
        </w:rPr>
        <w:t>第二十八条【犬只经营管理】</w:t>
      </w: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从事犬只诊疗、美容、训练、寄养等经营活动的机构，应当建立和保存经营台账，如实记载养犬登记信息以及犬只的品种、数量和流向等内容。</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left"/>
        <w:textAlignment w:val="auto"/>
        <w:rPr>
          <w:rFonts w:hint="default" w:ascii="Times New Roman" w:hAnsi="Times New Roman" w:eastAsia="仿宋_GB2312" w:cs="Times New Roman"/>
          <w:b w:val="0"/>
          <w:bCs w:val="0"/>
          <w:color w:val="EE0000"/>
          <w:kern w:val="0"/>
          <w:sz w:val="32"/>
          <w:szCs w:val="32"/>
          <w:highlight w:val="none"/>
        </w:rPr>
      </w:pPr>
      <w:bookmarkStart w:id="13" w:name="_Hlk199965170"/>
      <w:bookmarkStart w:id="14" w:name="OLE_LINK6"/>
      <w:r>
        <w:rPr>
          <w:rFonts w:hint="default" w:ascii="黑体" w:hAnsi="黑体" w:eastAsia="黑体" w:cs="黑体"/>
          <w:b w:val="0"/>
          <w:bCs w:val="0"/>
          <w:kern w:val="0"/>
          <w:sz w:val="32"/>
          <w:szCs w:val="32"/>
          <w:highlight w:val="none"/>
          <w:lang w:val="en-US" w:eastAsia="zh-CN" w:bidi="ar-SA"/>
        </w:rPr>
        <w:t>第二十九条【收容场所管理】</w:t>
      </w:r>
      <w:r>
        <w:rPr>
          <w:rFonts w:hint="default" w:ascii="Times New Roman" w:hAnsi="Times New Roman" w:eastAsia="仿宋_GB2312" w:cs="Times New Roman"/>
          <w:b w:val="0"/>
          <w:bCs w:val="0"/>
          <w:kern w:val="0"/>
          <w:sz w:val="32"/>
          <w:szCs w:val="32"/>
          <w:highlight w:val="none"/>
          <w:lang w:val="en-US" w:eastAsia="zh-CN"/>
        </w:rPr>
        <w:t xml:space="preserve"> </w:t>
      </w:r>
      <w:r>
        <w:rPr>
          <w:rFonts w:hint="default" w:ascii="Times New Roman" w:hAnsi="Times New Roman" w:eastAsia="仿宋_GB2312" w:cs="Times New Roman"/>
          <w:b w:val="0"/>
          <w:bCs w:val="0"/>
          <w:kern w:val="0"/>
          <w:sz w:val="32"/>
          <w:szCs w:val="32"/>
          <w:highlight w:val="none"/>
        </w:rPr>
        <w:t>市、区人民政府应当将犬只收容、无害化处理场所的布局和建设纳入国土空间规划，并给予经费保障。</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综合行政执法部门按照实际需要通过自建、联建、购买服务、补贴等方式提供犬只收容场所</w:t>
      </w:r>
      <w:bookmarkEnd w:id="13"/>
      <w:r>
        <w:rPr>
          <w:rFonts w:hint="default" w:ascii="Times New Roman" w:hAnsi="Times New Roman" w:eastAsia="仿宋_GB2312" w:cs="Times New Roman"/>
          <w:kern w:val="0"/>
          <w:sz w:val="32"/>
          <w:szCs w:val="32"/>
          <w:highlight w:val="none"/>
        </w:rPr>
        <w:t>，用于收容、留置流浪、走失和依法被没收犬只。综合行政执法部门负责犬只收容场所的日常监督管理。</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犬只收容场所的设置应当符合动物防疫条件的要求，配备符合需求的犬舍；根据实际需要配备无害化处理设施，或者与无害化处理场所签订无害化处理委托协议。</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鼓励、支持并可以依法委托符合条件的涉犬行业协会、动物保护组织等社会组织收容、救助、留养犬只，但不得利用犬只从事经营活动。</w:t>
      </w:r>
    </w:p>
    <w:bookmarkEnd w:id="14"/>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黑体" w:hAnsi="黑体" w:eastAsia="黑体" w:cs="黑体"/>
          <w:kern w:val="0"/>
          <w:sz w:val="32"/>
          <w:szCs w:val="32"/>
          <w:highlight w:val="none"/>
        </w:rPr>
        <w:t>第三十条【流浪、无主犬只管理】</w:t>
      </w: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任何单位和个人发现流浪犬只，可以将其送交犬只收容场所或者报告综合行政执法部门。</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综合行政执法部门对收容的流浪犬只，应当自收容之日起五日内发布公告，并核查犬只信息。能够查明犬只信息的，应当及时通知养犬人认领，</w:t>
      </w:r>
      <w:r>
        <w:rPr>
          <w:rFonts w:hint="default" w:ascii="Times New Roman" w:hAnsi="Times New Roman" w:eastAsia="仿宋_GB2312" w:cs="Times New Roman"/>
          <w:bCs/>
          <w:kern w:val="0"/>
          <w:sz w:val="32"/>
          <w:szCs w:val="32"/>
          <w:highlight w:val="none"/>
        </w:rPr>
        <w:t>并告知养犬人不领回的后果</w:t>
      </w:r>
      <w:r>
        <w:rPr>
          <w:rFonts w:hint="default" w:ascii="Times New Roman" w:hAnsi="Times New Roman" w:eastAsia="仿宋_GB2312" w:cs="Times New Roman"/>
          <w:kern w:val="0"/>
          <w:sz w:val="32"/>
          <w:szCs w:val="32"/>
          <w:highlight w:val="none"/>
        </w:rPr>
        <w:t>。养犬人应当自收到通知之日起五日内认领，并承担犬只在收容场所发生的饲养、医疗等费用；无法查明犬只信息且无人认领的，或者养犬人收到认领通知后无正当理由逾期不认领的，视为无主犬只。</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综合行政执法部门建立犬只领养制度，符合本规定条件的个人或者单位可以按照本规定领养无主犬只、被没收犬只和弃养犬只。</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黑体" w:hAnsi="黑体" w:eastAsia="黑体" w:cs="黑体"/>
          <w:kern w:val="0"/>
          <w:sz w:val="32"/>
          <w:szCs w:val="32"/>
          <w:highlight w:val="none"/>
        </w:rPr>
        <w:t>第三十一条【疫情防控】</w:t>
      </w: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任何单位和个人发现犬只患有或者疑似患有狂犬病等疫病的，应当立即向农业农村</w:t>
      </w:r>
      <w:r>
        <w:rPr>
          <w:rFonts w:hint="default" w:ascii="Times New Roman" w:hAnsi="Times New Roman" w:eastAsia="仿宋_GB2312" w:cs="Times New Roman"/>
          <w:kern w:val="0"/>
          <w:sz w:val="32"/>
          <w:szCs w:val="32"/>
          <w:highlight w:val="none"/>
          <w:lang w:eastAsia="zh-CN"/>
        </w:rPr>
        <w:t>主管</w:t>
      </w:r>
      <w:r>
        <w:rPr>
          <w:rFonts w:hint="default" w:ascii="Times New Roman" w:hAnsi="Times New Roman" w:eastAsia="仿宋_GB2312" w:cs="Times New Roman"/>
          <w:kern w:val="0"/>
          <w:sz w:val="32"/>
          <w:szCs w:val="32"/>
          <w:highlight w:val="none"/>
        </w:rPr>
        <w:t>部门报告；发现人员患有或者疑似患有人类狂犬病等人畜共患传染病的，应当立即向卫生健康</w:t>
      </w:r>
      <w:r>
        <w:rPr>
          <w:rFonts w:hint="default" w:ascii="Times New Roman" w:hAnsi="Times New Roman" w:eastAsia="仿宋_GB2312" w:cs="Times New Roman"/>
          <w:kern w:val="0"/>
          <w:sz w:val="32"/>
          <w:szCs w:val="32"/>
          <w:highlight w:val="none"/>
          <w:lang w:eastAsia="zh-CN"/>
        </w:rPr>
        <w:t>主管</w:t>
      </w:r>
      <w:r>
        <w:rPr>
          <w:rFonts w:hint="default" w:ascii="Times New Roman" w:hAnsi="Times New Roman" w:eastAsia="仿宋_GB2312" w:cs="Times New Roman"/>
          <w:kern w:val="0"/>
          <w:sz w:val="32"/>
          <w:szCs w:val="32"/>
          <w:highlight w:val="none"/>
        </w:rPr>
        <w:t>部门或者疾病预防控制机构报告。接到报告的单位应当按照有关法律、法规的规定采取处理措施，防止疫情扩散。</w:t>
      </w:r>
    </w:p>
    <w:p>
      <w:pPr>
        <w:keepNext w:val="0"/>
        <w:keepLines w:val="0"/>
        <w:pageBreakBefore w:val="0"/>
        <w:widowControl w:val="0"/>
        <w:kinsoku/>
        <w:wordWrap/>
        <w:overflowPunct/>
        <w:topLinePunct w:val="0"/>
        <w:autoSpaceDE/>
        <w:autoSpaceDN/>
        <w:bidi w:val="0"/>
        <w:adjustRightInd/>
        <w:snapToGrid/>
        <w:spacing w:after="0" w:line="578" w:lineRule="exact"/>
        <w:textAlignment w:val="auto"/>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78" w:lineRule="exact"/>
        <w:jc w:val="center"/>
        <w:textAlignment w:val="auto"/>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 xml:space="preserve">第六章 </w:t>
      </w:r>
      <w:r>
        <w:rPr>
          <w:rFonts w:hint="eastAsia" w:ascii="黑体" w:hAnsi="黑体" w:eastAsia="黑体" w:cs="黑体"/>
          <w:kern w:val="0"/>
          <w:sz w:val="32"/>
          <w:szCs w:val="32"/>
          <w:highlight w:val="none"/>
          <w:lang w:val="en-US" w:eastAsia="zh-CN"/>
        </w:rPr>
        <w:t xml:space="preserve"> </w:t>
      </w:r>
      <w:r>
        <w:rPr>
          <w:rFonts w:hint="eastAsia" w:ascii="黑体" w:hAnsi="黑体" w:eastAsia="黑体" w:cs="黑体"/>
          <w:kern w:val="0"/>
          <w:sz w:val="32"/>
          <w:szCs w:val="32"/>
          <w:highlight w:val="none"/>
        </w:rPr>
        <w:t>法律责任</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bookmarkStart w:id="15" w:name="OLE_LINK3"/>
      <w:r>
        <w:rPr>
          <w:rFonts w:hint="default" w:ascii="黑体" w:hAnsi="黑体" w:eastAsia="黑体" w:cs="黑体"/>
          <w:kern w:val="0"/>
          <w:sz w:val="32"/>
          <w:szCs w:val="32"/>
          <w:highlight w:val="none"/>
        </w:rPr>
        <w:t>第三十二条【违反分区域管理的处罚】</w:t>
      </w: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违反本规定第九条第二款、第十条第二款规定，依照下列规定予以处罚：</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xml:space="preserve">（一）在禁养区饲养、经营非危险犬只的，责令限期改正;逾期不改正的，没收犬只，并处一千元以下罚款; </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（二）携带犬只进入禁养区或者携带危险犬只进入严格管理区的，责令养犬人立即带离犬只，给予警告，可并处一百元以上三百元以下罚款。</w:t>
      </w:r>
    </w:p>
    <w:bookmarkEnd w:id="15"/>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黑体" w:hAnsi="黑体" w:eastAsia="黑体" w:cs="黑体"/>
          <w:kern w:val="0"/>
          <w:sz w:val="32"/>
          <w:szCs w:val="32"/>
          <w:highlight w:val="none"/>
        </w:rPr>
        <w:t>第三十三条【违反养犬数量限制的处罚】</w:t>
      </w: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违反本规定第十二条第一款规定，严格管理区内饲养的非危险犬只或者一般管理区饲养的危险犬只超过限养数量的，责令限期改正；逾期不改正的，每超养一只处五百元以上一千元以下罚款。</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黑体" w:hAnsi="黑体" w:eastAsia="黑体" w:cs="黑体"/>
          <w:kern w:val="0"/>
          <w:sz w:val="32"/>
          <w:szCs w:val="32"/>
          <w:highlight w:val="none"/>
        </w:rPr>
        <w:t>第三十四条【未免疫接种的处罚】</w:t>
      </w: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违反本规定第十三条第一款的规定，未定期为犬只进行狂犬病免疫接种的，依照《中华人民共和国动物防疫法》等规定进行处理。</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黑体" w:hAnsi="黑体" w:eastAsia="黑体" w:cs="黑体"/>
          <w:kern w:val="0"/>
          <w:sz w:val="32"/>
          <w:szCs w:val="32"/>
          <w:highlight w:val="none"/>
        </w:rPr>
        <w:t>第三十五条【未登记的处罚】</w:t>
      </w: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违反本规定第十四条第一款、第十九条规定，未办理养犬登记，擅自养犬或者携带外地犬只、境外犬只进入本市的，责令限期办理养犬登记；逾期未办理登记的，处五百元以上一千元以下罚款。</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违反本规定第十八条规定，未按期办理犬只变更或者注销登记的，责令限期改正；逾期不改正的，处一百元以上三百元以下罚款。</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黑体" w:hAnsi="黑体" w:eastAsia="黑体" w:cs="黑体"/>
          <w:kern w:val="0"/>
          <w:sz w:val="32"/>
          <w:szCs w:val="32"/>
          <w:highlight w:val="none"/>
        </w:rPr>
        <w:t>第三十六条【未按期补办证件的处罚】</w:t>
      </w: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违反本规定第二十条规定，未按期补办犬只狂犬病免疫证明、犬牌、补植电子识别标识的，责令限期改正；逾期不改正的，处一百元以上三百元以下罚款。</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黑体" w:hAnsi="黑体" w:eastAsia="黑体" w:cs="黑体"/>
          <w:kern w:val="0"/>
          <w:sz w:val="32"/>
          <w:szCs w:val="32"/>
          <w:highlight w:val="none"/>
        </w:rPr>
        <w:t>第三十七条【违反养犬行为规范的处罚】</w:t>
      </w: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养犬人违反养犬行为规范，依照下列规定予以处罚：</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（一）违反本规定第二十二条第一款第二项规定，养犬人占用楼道等公共区域饲养犬只的，责令限期改正；逾期不改正的，处一千元罚款；</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（二）违反本规定第二十二条第一款第五项规定，遗弃犬只的，责令限期领回；逾期未领回的，处五百元以上一千元以下罚款，五年内禁止养犬；</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left"/>
        <w:textAlignment w:val="auto"/>
        <w:rPr>
          <w:rFonts w:hint="default" w:ascii="Times New Roman" w:hAnsi="Times New Roman" w:eastAsia="仿宋_GB2312" w:cs="Times New Roman"/>
          <w:b w:val="0"/>
          <w:bCs w:val="0"/>
          <w:kern w:val="0"/>
          <w:sz w:val="32"/>
          <w:szCs w:val="32"/>
          <w:highlight w:val="none"/>
        </w:rPr>
      </w:pPr>
      <w:r>
        <w:rPr>
          <w:rFonts w:hint="default" w:ascii="Times New Roman" w:hAnsi="Times New Roman" w:eastAsia="仿宋_GB2312" w:cs="Times New Roman"/>
          <w:b w:val="0"/>
          <w:bCs w:val="0"/>
          <w:kern w:val="0"/>
          <w:sz w:val="32"/>
          <w:szCs w:val="32"/>
          <w:highlight w:val="none"/>
        </w:rPr>
        <w:t>（三）违反本规定第二十二条第二款规定，养犬人未对一般管理区饲养的危险犬只进行圈养或者拴养的，责令限期改正；逾期不改正的，处一千元罚款；</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（四）违反本规定第二十三条第一款第一项规定，携犬外出的犬链（绳）超过规定长度的，责令改正；拒不改正的，处五十元以上三百元以下罚款；</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bookmarkStart w:id="16" w:name="_Hlk199186264"/>
      <w:r>
        <w:rPr>
          <w:rFonts w:hint="default" w:ascii="Times New Roman" w:hAnsi="Times New Roman" w:eastAsia="仿宋_GB2312" w:cs="Times New Roman"/>
          <w:kern w:val="0"/>
          <w:sz w:val="32"/>
          <w:szCs w:val="32"/>
          <w:highlight w:val="none"/>
        </w:rPr>
        <w:t>（五）违反本规定第二十三条第一款第二项规定</w:t>
      </w:r>
      <w:bookmarkEnd w:id="16"/>
      <w:r>
        <w:rPr>
          <w:rFonts w:hint="default" w:ascii="Times New Roman" w:hAnsi="Times New Roman" w:eastAsia="仿宋_GB2312" w:cs="Times New Roman"/>
          <w:kern w:val="0"/>
          <w:sz w:val="32"/>
          <w:szCs w:val="32"/>
          <w:highlight w:val="none"/>
        </w:rPr>
        <w:t>，严格管理区内的非危险犬只或者一般管理区内的危险犬只外出，未佩戴犬牌的，责令改正；拒不改正的，处五十元以上二百元以下罚款；</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（六）违反本规定第二十三条第一款第三项规定，携犬外出未及时清理犬只排泄物的，责令改正；拒不改正的，处五十元以上三百元以下的罚款；</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（七）违反本规定第二十四条第一款规定，携带犬只进入禁入场所的，责令养犬人立即带离犬只，给予警告，可并处五十元以上二百元以下罚款；</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（八）违反本规定第二十七条第一款规定，未依法对病死或者不明原因死亡的犬只进行无害化处理的，依照《中华人民共和国动物防疫法》等规定进行处理。</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黑体" w:hAnsi="黑体" w:eastAsia="黑体" w:cs="黑体"/>
          <w:kern w:val="0"/>
          <w:sz w:val="32"/>
          <w:szCs w:val="32"/>
          <w:highlight w:val="none"/>
        </w:rPr>
        <w:t>第三十八条【部门及工作人员责任】</w:t>
      </w: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负有养犬监督管理职责的单位及其工作人员有下列行为之一的，由有权机关责令改正；情节严重的，对直接负责的主管人员和其他直接责任人员依法给予处分；造成损害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（一）未依法履行免疫、登记、防疫等管理职责的；</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（二）对违法行为查处不力，造成严重后果的；</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（三）违法行使职权，损害他人合法权益的；</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（四）其他滥用职权、玩忽职守、徇私舞弊的行为。</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bCs/>
          <w:kern w:val="0"/>
          <w:sz w:val="32"/>
          <w:szCs w:val="32"/>
          <w:highlight w:val="none"/>
        </w:rPr>
      </w:pPr>
      <w:r>
        <w:rPr>
          <w:rFonts w:hint="default" w:ascii="黑体" w:hAnsi="黑体" w:eastAsia="黑体" w:cs="黑体"/>
          <w:kern w:val="0"/>
          <w:sz w:val="32"/>
          <w:szCs w:val="32"/>
          <w:highlight w:val="none"/>
        </w:rPr>
        <w:t>第三十九条【执法职责划分】</w:t>
      </w: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bCs/>
          <w:kern w:val="0"/>
          <w:sz w:val="32"/>
          <w:szCs w:val="32"/>
          <w:highlight w:val="none"/>
        </w:rPr>
        <w:t>本规定设定的行政处罚，由综合行政执法部门实施。本规定设定的责令养犬人立即带离犬只、责令限期办理养犬登记、责令限期领回、责令改正或者限期改正，相关违法行为由行业主管部门在日常监督管理中发现的，行业主管部门应当依法实施；因其他情形发现的，综合行政执法部门应当依法实施。</w:t>
      </w:r>
    </w:p>
    <w:p>
      <w:pPr>
        <w:keepNext w:val="0"/>
        <w:keepLines w:val="0"/>
        <w:pageBreakBefore w:val="0"/>
        <w:widowControl w:val="0"/>
        <w:kinsoku/>
        <w:wordWrap/>
        <w:overflowPunct/>
        <w:topLinePunct w:val="0"/>
        <w:autoSpaceDE/>
        <w:autoSpaceDN/>
        <w:bidi w:val="0"/>
        <w:adjustRightInd/>
        <w:snapToGrid/>
        <w:spacing w:after="0" w:line="578" w:lineRule="exact"/>
        <w:ind w:firstLine="633" w:firstLineChars="198"/>
        <w:textAlignment w:val="auto"/>
        <w:rPr>
          <w:rFonts w:hint="default" w:ascii="Times New Roman" w:hAnsi="Times New Roman" w:eastAsia="仿宋_GB2312" w:cs="Times New Roman"/>
          <w:bCs/>
          <w:kern w:val="0"/>
          <w:sz w:val="32"/>
          <w:szCs w:val="32"/>
          <w:highlight w:val="none"/>
        </w:rPr>
      </w:pPr>
      <w:r>
        <w:rPr>
          <w:rFonts w:hint="default" w:ascii="Times New Roman" w:hAnsi="Times New Roman" w:eastAsia="仿宋_GB2312" w:cs="Times New Roman"/>
          <w:bCs/>
          <w:kern w:val="0"/>
          <w:sz w:val="32"/>
          <w:szCs w:val="32"/>
          <w:highlight w:val="none"/>
        </w:rPr>
        <w:t>违反本规定的行为，构成违反治安管理行为的，由公安机关依法给予处罚；构成犯罪的，依法追究刑事责任。</w:t>
      </w:r>
    </w:p>
    <w:p>
      <w:pPr>
        <w:keepNext w:val="0"/>
        <w:keepLines w:val="0"/>
        <w:pageBreakBefore w:val="0"/>
        <w:widowControl w:val="0"/>
        <w:kinsoku/>
        <w:wordWrap/>
        <w:overflowPunct/>
        <w:topLinePunct w:val="0"/>
        <w:autoSpaceDE/>
        <w:autoSpaceDN/>
        <w:bidi w:val="0"/>
        <w:adjustRightInd/>
        <w:snapToGrid/>
        <w:spacing w:after="0" w:line="578" w:lineRule="exact"/>
        <w:ind w:firstLine="633" w:firstLineChars="198"/>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Cs/>
          <w:kern w:val="0"/>
          <w:sz w:val="32"/>
          <w:szCs w:val="32"/>
          <w:highlight w:val="none"/>
        </w:rPr>
        <w:t>违反本规定的行为，本规定未设定处罚，有关法律、法规已有处罚规定的，从其规定。</w:t>
      </w:r>
    </w:p>
    <w:p>
      <w:pPr>
        <w:keepNext w:val="0"/>
        <w:keepLines w:val="0"/>
        <w:pageBreakBefore w:val="0"/>
        <w:widowControl w:val="0"/>
        <w:kinsoku/>
        <w:wordWrap/>
        <w:overflowPunct/>
        <w:topLinePunct w:val="0"/>
        <w:autoSpaceDE/>
        <w:autoSpaceDN/>
        <w:bidi w:val="0"/>
        <w:adjustRightInd/>
        <w:snapToGrid/>
        <w:spacing w:after="0" w:line="578" w:lineRule="exact"/>
        <w:textAlignment w:val="auto"/>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78" w:lineRule="exact"/>
        <w:jc w:val="center"/>
        <w:textAlignment w:val="auto"/>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 xml:space="preserve">第七章 </w:t>
      </w:r>
      <w:r>
        <w:rPr>
          <w:rFonts w:hint="eastAsia" w:ascii="黑体" w:hAnsi="黑体" w:eastAsia="黑体" w:cs="黑体"/>
          <w:kern w:val="0"/>
          <w:sz w:val="32"/>
          <w:szCs w:val="32"/>
          <w:highlight w:val="none"/>
          <w:lang w:val="en-US" w:eastAsia="zh-CN"/>
        </w:rPr>
        <w:t xml:space="preserve"> </w:t>
      </w:r>
      <w:r>
        <w:rPr>
          <w:rFonts w:hint="eastAsia" w:ascii="黑体" w:hAnsi="黑体" w:eastAsia="黑体" w:cs="黑体"/>
          <w:kern w:val="0"/>
          <w:sz w:val="32"/>
          <w:szCs w:val="32"/>
          <w:highlight w:val="none"/>
        </w:rPr>
        <w:t>附  则</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b w:val="0"/>
          <w:bCs w:val="0"/>
          <w:color w:val="000000" w:themeColor="text1"/>
          <w:kern w:val="0"/>
          <w:sz w:val="32"/>
          <w:szCs w:val="32"/>
          <w:highlight w:val="none"/>
          <w14:textFill>
            <w14:solidFill>
              <w14:schemeClr w14:val="tx1"/>
            </w14:solidFill>
          </w14:textFill>
        </w:rPr>
      </w:pPr>
      <w:r>
        <w:rPr>
          <w:rFonts w:hint="default" w:ascii="黑体" w:hAnsi="黑体" w:eastAsia="黑体" w:cs="黑体"/>
          <w:kern w:val="0"/>
          <w:sz w:val="32"/>
          <w:szCs w:val="32"/>
          <w:highlight w:val="none"/>
        </w:rPr>
        <w:t>第四十条【服务犬】</w:t>
      </w:r>
      <w:r>
        <w:rPr>
          <w:rFonts w:hint="default"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32"/>
          <w:szCs w:val="32"/>
          <w:highlight w:val="none"/>
          <w14:textFill>
            <w14:solidFill>
              <w14:schemeClr w14:val="tx1"/>
            </w14:solidFill>
          </w14:textFill>
        </w:rPr>
        <w:t>残疾人饲养的导盲犬、导听犬、辅助犬等服务犬，不受本规定养犬区域、犬只数量、禁入场所及乘坐交通工具的限制。</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val="0"/>
          <w:bCs w:val="0"/>
          <w:color w:val="000000" w:themeColor="text1"/>
          <w:kern w:val="0"/>
          <w:sz w:val="32"/>
          <w:szCs w:val="32"/>
          <w:highlight w:val="none"/>
          <w14:textFill>
            <w14:solidFill>
              <w14:schemeClr w14:val="tx1"/>
            </w14:solidFill>
          </w14:textFill>
        </w:rPr>
        <w:t>残疾人携带服务犬出入公共场所、使用交通运输设施和公共交通</w:t>
      </w:r>
      <w:r>
        <w:rPr>
          <w:rFonts w:hint="default"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运输</w:t>
      </w:r>
      <w:r>
        <w:rPr>
          <w:rFonts w:hint="default" w:ascii="Times New Roman" w:hAnsi="Times New Roman" w:eastAsia="仿宋_GB2312" w:cs="Times New Roman"/>
          <w:b w:val="0"/>
          <w:bCs w:val="0"/>
          <w:color w:val="000000" w:themeColor="text1"/>
          <w:kern w:val="0"/>
          <w:sz w:val="32"/>
          <w:szCs w:val="32"/>
          <w:highlight w:val="none"/>
          <w14:textFill>
            <w14:solidFill>
              <w14:schemeClr w14:val="tx1"/>
            </w14:solidFill>
          </w14:textFill>
        </w:rPr>
        <w:t>工具的，应当遵守国家有关规</w:t>
      </w:r>
      <w:r>
        <w:rPr>
          <w:rFonts w:hint="default" w:ascii="Times New Roman" w:hAnsi="Times New Roman" w:eastAsia="仿宋_GB2312" w:cs="Times New Roman"/>
          <w:b w:val="0"/>
          <w:bCs w:val="0"/>
          <w:kern w:val="0"/>
          <w:sz w:val="32"/>
          <w:szCs w:val="32"/>
          <w:highlight w:val="none"/>
        </w:rPr>
        <w:t>定，为服务犬佩戴明显识别装备，并采取必要的防护措施。</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仿宋_GB2312" w:cs="Times New Roman"/>
          <w:b w:val="0"/>
          <w:bCs w:val="0"/>
          <w:kern w:val="0"/>
          <w:sz w:val="32"/>
          <w:szCs w:val="32"/>
          <w:highlight w:val="none"/>
          <w:lang w:val="en-US" w:eastAsia="zh-CN"/>
        </w:rPr>
      </w:pPr>
      <w:r>
        <w:rPr>
          <w:rFonts w:hint="default" w:ascii="黑体" w:hAnsi="黑体" w:eastAsia="黑体" w:cs="黑体"/>
          <w:kern w:val="0"/>
          <w:sz w:val="32"/>
          <w:szCs w:val="32"/>
          <w:highlight w:val="none"/>
        </w:rPr>
        <w:t>第四十一条【</w:t>
      </w:r>
      <w:r>
        <w:rPr>
          <w:rFonts w:hint="default" w:ascii="黑体" w:hAnsi="黑体" w:eastAsia="黑体" w:cs="黑体"/>
          <w:kern w:val="0"/>
          <w:sz w:val="32"/>
          <w:szCs w:val="32"/>
          <w:highlight w:val="none"/>
          <w:lang w:eastAsia="zh-CN"/>
        </w:rPr>
        <w:t>施行时间</w:t>
      </w:r>
      <w:r>
        <w:rPr>
          <w:rFonts w:hint="default" w:ascii="黑体" w:hAnsi="黑体" w:eastAsia="黑体" w:cs="黑体"/>
          <w:kern w:val="0"/>
          <w:sz w:val="32"/>
          <w:szCs w:val="32"/>
          <w:highlight w:val="none"/>
        </w:rPr>
        <w:t>】</w:t>
      </w:r>
      <w:r>
        <w:rPr>
          <w:rFonts w:hint="default" w:ascii="Times New Roman" w:hAnsi="Times New Roman" w:eastAsia="仿宋_GB2312" w:cs="Times New Roman"/>
          <w:b w:val="0"/>
          <w:bCs w:val="0"/>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本规定自202X年</w:t>
      </w:r>
      <w:r>
        <w:rPr>
          <w:rFonts w:hint="eastAsia"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月</w:t>
      </w:r>
      <w:r>
        <w:rPr>
          <w:rFonts w:hint="eastAsia"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日起施行。</w:t>
      </w:r>
      <w:bookmarkStart w:id="17" w:name="_GoBack"/>
      <w:bookmarkEnd w:id="17"/>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A0000287" w:usb1="28CF3C52"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Light">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">
              <v:fill on="f" focussize="0,0"/>
              <v:stroke on="f" weight="0.5pt"/>
              <v:imagedata o:title=""/>
              <o:lock v:ext="edit" aspectratio="f"/>
              <v:textbox inset="0mm,0mm,0mm,0mm" style="mso-fit-shape-to-text:t;">
                <w:txbxContent>
                  <w:p>
                    <w:pPr>
                      <w:pStyle w:val="14"/>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1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8DD"/>
    <w:rsid w:val="00000CF3"/>
    <w:rsid w:val="00003C14"/>
    <w:rsid w:val="00014428"/>
    <w:rsid w:val="00014BD8"/>
    <w:rsid w:val="00020FC4"/>
    <w:rsid w:val="000260C5"/>
    <w:rsid w:val="00032B29"/>
    <w:rsid w:val="00034E51"/>
    <w:rsid w:val="00037D6A"/>
    <w:rsid w:val="000459A1"/>
    <w:rsid w:val="00046170"/>
    <w:rsid w:val="00046433"/>
    <w:rsid w:val="00050201"/>
    <w:rsid w:val="00050875"/>
    <w:rsid w:val="00050EFC"/>
    <w:rsid w:val="00062AFA"/>
    <w:rsid w:val="00070694"/>
    <w:rsid w:val="00074587"/>
    <w:rsid w:val="00074761"/>
    <w:rsid w:val="00083CDD"/>
    <w:rsid w:val="00085CD2"/>
    <w:rsid w:val="0008675F"/>
    <w:rsid w:val="0008771D"/>
    <w:rsid w:val="00094F61"/>
    <w:rsid w:val="00097E46"/>
    <w:rsid w:val="000A585A"/>
    <w:rsid w:val="000B0661"/>
    <w:rsid w:val="000B40A1"/>
    <w:rsid w:val="000B4B67"/>
    <w:rsid w:val="000C7ADD"/>
    <w:rsid w:val="000E3C84"/>
    <w:rsid w:val="000E4261"/>
    <w:rsid w:val="000E4631"/>
    <w:rsid w:val="000F2AF9"/>
    <w:rsid w:val="000F561B"/>
    <w:rsid w:val="00101CED"/>
    <w:rsid w:val="001034F1"/>
    <w:rsid w:val="00111C6D"/>
    <w:rsid w:val="00112A4A"/>
    <w:rsid w:val="001150A3"/>
    <w:rsid w:val="0012475A"/>
    <w:rsid w:val="00126F39"/>
    <w:rsid w:val="00130CB4"/>
    <w:rsid w:val="00132DD3"/>
    <w:rsid w:val="00133FDF"/>
    <w:rsid w:val="00145944"/>
    <w:rsid w:val="00146E9F"/>
    <w:rsid w:val="00147E30"/>
    <w:rsid w:val="0015110F"/>
    <w:rsid w:val="0015248B"/>
    <w:rsid w:val="00153E0C"/>
    <w:rsid w:val="00160C06"/>
    <w:rsid w:val="00173F56"/>
    <w:rsid w:val="00175157"/>
    <w:rsid w:val="0017585B"/>
    <w:rsid w:val="001822E2"/>
    <w:rsid w:val="00182E52"/>
    <w:rsid w:val="00183260"/>
    <w:rsid w:val="00184B86"/>
    <w:rsid w:val="00197313"/>
    <w:rsid w:val="001B0D69"/>
    <w:rsid w:val="001B14D7"/>
    <w:rsid w:val="001B4917"/>
    <w:rsid w:val="001B5A7D"/>
    <w:rsid w:val="001B5D7C"/>
    <w:rsid w:val="001B6305"/>
    <w:rsid w:val="001C0EFF"/>
    <w:rsid w:val="001C2EFF"/>
    <w:rsid w:val="001C559F"/>
    <w:rsid w:val="001C595B"/>
    <w:rsid w:val="001C6E24"/>
    <w:rsid w:val="001D42EA"/>
    <w:rsid w:val="001D4733"/>
    <w:rsid w:val="001F0145"/>
    <w:rsid w:val="001F1596"/>
    <w:rsid w:val="001F3354"/>
    <w:rsid w:val="002015D5"/>
    <w:rsid w:val="00202937"/>
    <w:rsid w:val="00203B37"/>
    <w:rsid w:val="002105E0"/>
    <w:rsid w:val="002107E3"/>
    <w:rsid w:val="00214D2C"/>
    <w:rsid w:val="00227329"/>
    <w:rsid w:val="00232631"/>
    <w:rsid w:val="00240B66"/>
    <w:rsid w:val="00241754"/>
    <w:rsid w:val="00241EB7"/>
    <w:rsid w:val="002424D7"/>
    <w:rsid w:val="002443CB"/>
    <w:rsid w:val="00250E0B"/>
    <w:rsid w:val="00251C43"/>
    <w:rsid w:val="00252864"/>
    <w:rsid w:val="0025323B"/>
    <w:rsid w:val="00260D99"/>
    <w:rsid w:val="0026192A"/>
    <w:rsid w:val="00273CF5"/>
    <w:rsid w:val="00276A9B"/>
    <w:rsid w:val="002852CE"/>
    <w:rsid w:val="00285EE2"/>
    <w:rsid w:val="00287AC9"/>
    <w:rsid w:val="00293ECE"/>
    <w:rsid w:val="002966B9"/>
    <w:rsid w:val="00296E8F"/>
    <w:rsid w:val="002A3FEF"/>
    <w:rsid w:val="002A5C5E"/>
    <w:rsid w:val="002B0E16"/>
    <w:rsid w:val="002C07D6"/>
    <w:rsid w:val="002C2ED5"/>
    <w:rsid w:val="002C478A"/>
    <w:rsid w:val="002C5295"/>
    <w:rsid w:val="002C56E5"/>
    <w:rsid w:val="002C6FAC"/>
    <w:rsid w:val="002D4EE0"/>
    <w:rsid w:val="002F1494"/>
    <w:rsid w:val="002F2287"/>
    <w:rsid w:val="002F3236"/>
    <w:rsid w:val="002F358A"/>
    <w:rsid w:val="002F4620"/>
    <w:rsid w:val="003004B9"/>
    <w:rsid w:val="003023F3"/>
    <w:rsid w:val="00305AFB"/>
    <w:rsid w:val="003066C0"/>
    <w:rsid w:val="00313918"/>
    <w:rsid w:val="00314708"/>
    <w:rsid w:val="003153CE"/>
    <w:rsid w:val="003244C7"/>
    <w:rsid w:val="00334DB8"/>
    <w:rsid w:val="003357C3"/>
    <w:rsid w:val="00336864"/>
    <w:rsid w:val="003558CA"/>
    <w:rsid w:val="00361968"/>
    <w:rsid w:val="00367CD7"/>
    <w:rsid w:val="00371156"/>
    <w:rsid w:val="003727E3"/>
    <w:rsid w:val="00383804"/>
    <w:rsid w:val="003906C8"/>
    <w:rsid w:val="00391A49"/>
    <w:rsid w:val="00391C47"/>
    <w:rsid w:val="00393C36"/>
    <w:rsid w:val="0039545F"/>
    <w:rsid w:val="00397B9A"/>
    <w:rsid w:val="003A611F"/>
    <w:rsid w:val="003B2B5B"/>
    <w:rsid w:val="003B2E30"/>
    <w:rsid w:val="003B546E"/>
    <w:rsid w:val="003C452C"/>
    <w:rsid w:val="003C6CA5"/>
    <w:rsid w:val="003C7166"/>
    <w:rsid w:val="003C799C"/>
    <w:rsid w:val="003D13D0"/>
    <w:rsid w:val="003E1740"/>
    <w:rsid w:val="003E78FC"/>
    <w:rsid w:val="003F1921"/>
    <w:rsid w:val="003F22E5"/>
    <w:rsid w:val="003F3EC2"/>
    <w:rsid w:val="003F6A2C"/>
    <w:rsid w:val="00400146"/>
    <w:rsid w:val="004019F9"/>
    <w:rsid w:val="0040214C"/>
    <w:rsid w:val="004026B5"/>
    <w:rsid w:val="00403070"/>
    <w:rsid w:val="0040380A"/>
    <w:rsid w:val="00411D5F"/>
    <w:rsid w:val="00433D85"/>
    <w:rsid w:val="00451DB5"/>
    <w:rsid w:val="0045232E"/>
    <w:rsid w:val="00456D78"/>
    <w:rsid w:val="00466AB8"/>
    <w:rsid w:val="0047146D"/>
    <w:rsid w:val="00480D7E"/>
    <w:rsid w:val="00495DD7"/>
    <w:rsid w:val="004A15A3"/>
    <w:rsid w:val="004B4E08"/>
    <w:rsid w:val="004B733F"/>
    <w:rsid w:val="004C1F2C"/>
    <w:rsid w:val="004C30F0"/>
    <w:rsid w:val="004C4200"/>
    <w:rsid w:val="004D0625"/>
    <w:rsid w:val="004D0F40"/>
    <w:rsid w:val="004D6C25"/>
    <w:rsid w:val="004E1282"/>
    <w:rsid w:val="004E4EC3"/>
    <w:rsid w:val="004F10C9"/>
    <w:rsid w:val="004F149F"/>
    <w:rsid w:val="004F234B"/>
    <w:rsid w:val="004F27A6"/>
    <w:rsid w:val="005015E2"/>
    <w:rsid w:val="00505BB4"/>
    <w:rsid w:val="00506464"/>
    <w:rsid w:val="00510937"/>
    <w:rsid w:val="00513AD0"/>
    <w:rsid w:val="005149D6"/>
    <w:rsid w:val="0052161A"/>
    <w:rsid w:val="005231E5"/>
    <w:rsid w:val="00534A29"/>
    <w:rsid w:val="00541CBD"/>
    <w:rsid w:val="005468A7"/>
    <w:rsid w:val="005513F0"/>
    <w:rsid w:val="00555657"/>
    <w:rsid w:val="00560BE6"/>
    <w:rsid w:val="005728B1"/>
    <w:rsid w:val="00573342"/>
    <w:rsid w:val="00573B24"/>
    <w:rsid w:val="00582082"/>
    <w:rsid w:val="005838E0"/>
    <w:rsid w:val="0059169A"/>
    <w:rsid w:val="00593E7D"/>
    <w:rsid w:val="005A6E78"/>
    <w:rsid w:val="005A70D3"/>
    <w:rsid w:val="005C1432"/>
    <w:rsid w:val="005C29AB"/>
    <w:rsid w:val="005C4F9D"/>
    <w:rsid w:val="005C6F38"/>
    <w:rsid w:val="005D59B5"/>
    <w:rsid w:val="005E2EB7"/>
    <w:rsid w:val="005E6F13"/>
    <w:rsid w:val="005F04EE"/>
    <w:rsid w:val="00600F0A"/>
    <w:rsid w:val="006203BA"/>
    <w:rsid w:val="00620DFD"/>
    <w:rsid w:val="0062396B"/>
    <w:rsid w:val="00624D7C"/>
    <w:rsid w:val="006311AC"/>
    <w:rsid w:val="00632B83"/>
    <w:rsid w:val="0063414F"/>
    <w:rsid w:val="006437D5"/>
    <w:rsid w:val="00650B39"/>
    <w:rsid w:val="00650FE3"/>
    <w:rsid w:val="00653343"/>
    <w:rsid w:val="0066300A"/>
    <w:rsid w:val="0066513B"/>
    <w:rsid w:val="00667021"/>
    <w:rsid w:val="00673398"/>
    <w:rsid w:val="00690929"/>
    <w:rsid w:val="006949C6"/>
    <w:rsid w:val="006A26F4"/>
    <w:rsid w:val="006A5347"/>
    <w:rsid w:val="006C0C52"/>
    <w:rsid w:val="006C3901"/>
    <w:rsid w:val="006C5AA5"/>
    <w:rsid w:val="006C6E5D"/>
    <w:rsid w:val="006D161B"/>
    <w:rsid w:val="006D1AD1"/>
    <w:rsid w:val="006D3630"/>
    <w:rsid w:val="006D6D54"/>
    <w:rsid w:val="006D7BFF"/>
    <w:rsid w:val="006E7D81"/>
    <w:rsid w:val="006F1621"/>
    <w:rsid w:val="006F3827"/>
    <w:rsid w:val="0070519A"/>
    <w:rsid w:val="007073E6"/>
    <w:rsid w:val="00712C30"/>
    <w:rsid w:val="00717099"/>
    <w:rsid w:val="007207DA"/>
    <w:rsid w:val="0072126C"/>
    <w:rsid w:val="0072147D"/>
    <w:rsid w:val="00726C23"/>
    <w:rsid w:val="00734699"/>
    <w:rsid w:val="00741CE3"/>
    <w:rsid w:val="007458CF"/>
    <w:rsid w:val="00747E17"/>
    <w:rsid w:val="007541AB"/>
    <w:rsid w:val="00756959"/>
    <w:rsid w:val="00762300"/>
    <w:rsid w:val="00764570"/>
    <w:rsid w:val="00767C4F"/>
    <w:rsid w:val="00780AFF"/>
    <w:rsid w:val="007815AD"/>
    <w:rsid w:val="007826B1"/>
    <w:rsid w:val="00784792"/>
    <w:rsid w:val="00795423"/>
    <w:rsid w:val="007A2ED1"/>
    <w:rsid w:val="007B26A3"/>
    <w:rsid w:val="007B2A5A"/>
    <w:rsid w:val="007D1016"/>
    <w:rsid w:val="007D5863"/>
    <w:rsid w:val="007D7C27"/>
    <w:rsid w:val="007E10E6"/>
    <w:rsid w:val="007E44D8"/>
    <w:rsid w:val="00807096"/>
    <w:rsid w:val="008127FA"/>
    <w:rsid w:val="00814DE7"/>
    <w:rsid w:val="008207D3"/>
    <w:rsid w:val="008267BB"/>
    <w:rsid w:val="00844631"/>
    <w:rsid w:val="00845A91"/>
    <w:rsid w:val="00847FBC"/>
    <w:rsid w:val="00854841"/>
    <w:rsid w:val="008679D7"/>
    <w:rsid w:val="00870C74"/>
    <w:rsid w:val="008749A5"/>
    <w:rsid w:val="008762E1"/>
    <w:rsid w:val="00876D16"/>
    <w:rsid w:val="00882091"/>
    <w:rsid w:val="008854CE"/>
    <w:rsid w:val="008924BD"/>
    <w:rsid w:val="008934B9"/>
    <w:rsid w:val="008A2D1B"/>
    <w:rsid w:val="008A331D"/>
    <w:rsid w:val="008B1CF6"/>
    <w:rsid w:val="008B2926"/>
    <w:rsid w:val="008B2E43"/>
    <w:rsid w:val="008B52B9"/>
    <w:rsid w:val="008B5E7A"/>
    <w:rsid w:val="008D0427"/>
    <w:rsid w:val="008D2B0D"/>
    <w:rsid w:val="008D2DC7"/>
    <w:rsid w:val="008D564F"/>
    <w:rsid w:val="008E30C1"/>
    <w:rsid w:val="008E351C"/>
    <w:rsid w:val="008E5867"/>
    <w:rsid w:val="008E79C5"/>
    <w:rsid w:val="008F1526"/>
    <w:rsid w:val="009019BA"/>
    <w:rsid w:val="00912E27"/>
    <w:rsid w:val="009131DE"/>
    <w:rsid w:val="009165CD"/>
    <w:rsid w:val="00934880"/>
    <w:rsid w:val="00940873"/>
    <w:rsid w:val="00941526"/>
    <w:rsid w:val="009421E0"/>
    <w:rsid w:val="00945D70"/>
    <w:rsid w:val="009463A6"/>
    <w:rsid w:val="00950B5E"/>
    <w:rsid w:val="00952F0E"/>
    <w:rsid w:val="0095417C"/>
    <w:rsid w:val="00961143"/>
    <w:rsid w:val="00965DAC"/>
    <w:rsid w:val="00973BC8"/>
    <w:rsid w:val="0098106C"/>
    <w:rsid w:val="00992635"/>
    <w:rsid w:val="00992E91"/>
    <w:rsid w:val="009941DC"/>
    <w:rsid w:val="00994BD8"/>
    <w:rsid w:val="009A18BE"/>
    <w:rsid w:val="009A5514"/>
    <w:rsid w:val="009B2ACD"/>
    <w:rsid w:val="009B571E"/>
    <w:rsid w:val="009C0755"/>
    <w:rsid w:val="009D1C3B"/>
    <w:rsid w:val="009D6CCD"/>
    <w:rsid w:val="009E1141"/>
    <w:rsid w:val="009E5DAC"/>
    <w:rsid w:val="009F0B77"/>
    <w:rsid w:val="009F0F70"/>
    <w:rsid w:val="009F11BF"/>
    <w:rsid w:val="009F3AAA"/>
    <w:rsid w:val="009F3E0A"/>
    <w:rsid w:val="009F4C2C"/>
    <w:rsid w:val="009F6EF7"/>
    <w:rsid w:val="00A006E7"/>
    <w:rsid w:val="00A03004"/>
    <w:rsid w:val="00A030EB"/>
    <w:rsid w:val="00A0605C"/>
    <w:rsid w:val="00A06F98"/>
    <w:rsid w:val="00A129C9"/>
    <w:rsid w:val="00A13198"/>
    <w:rsid w:val="00A174BB"/>
    <w:rsid w:val="00A205C2"/>
    <w:rsid w:val="00A3041B"/>
    <w:rsid w:val="00A320CB"/>
    <w:rsid w:val="00A332AF"/>
    <w:rsid w:val="00A434F0"/>
    <w:rsid w:val="00A43E17"/>
    <w:rsid w:val="00A45F0C"/>
    <w:rsid w:val="00A51469"/>
    <w:rsid w:val="00A51C85"/>
    <w:rsid w:val="00A536D4"/>
    <w:rsid w:val="00A55622"/>
    <w:rsid w:val="00A57D71"/>
    <w:rsid w:val="00A6053C"/>
    <w:rsid w:val="00A658E5"/>
    <w:rsid w:val="00A65F87"/>
    <w:rsid w:val="00A704CC"/>
    <w:rsid w:val="00A746C1"/>
    <w:rsid w:val="00A8287C"/>
    <w:rsid w:val="00A83D19"/>
    <w:rsid w:val="00A90428"/>
    <w:rsid w:val="00A90C26"/>
    <w:rsid w:val="00A914FF"/>
    <w:rsid w:val="00AA03B4"/>
    <w:rsid w:val="00AA14AA"/>
    <w:rsid w:val="00AA1DBB"/>
    <w:rsid w:val="00AA39B2"/>
    <w:rsid w:val="00AB0BDA"/>
    <w:rsid w:val="00AB2088"/>
    <w:rsid w:val="00AB6896"/>
    <w:rsid w:val="00AB7814"/>
    <w:rsid w:val="00AC1196"/>
    <w:rsid w:val="00AC7396"/>
    <w:rsid w:val="00AD263F"/>
    <w:rsid w:val="00AD2B5D"/>
    <w:rsid w:val="00AD4337"/>
    <w:rsid w:val="00AD49E4"/>
    <w:rsid w:val="00AD57E3"/>
    <w:rsid w:val="00AD61CB"/>
    <w:rsid w:val="00AE05BB"/>
    <w:rsid w:val="00AE758F"/>
    <w:rsid w:val="00AF26FD"/>
    <w:rsid w:val="00AF3147"/>
    <w:rsid w:val="00AF3D77"/>
    <w:rsid w:val="00B042C3"/>
    <w:rsid w:val="00B104C0"/>
    <w:rsid w:val="00B27AE1"/>
    <w:rsid w:val="00B345D7"/>
    <w:rsid w:val="00B42295"/>
    <w:rsid w:val="00B44BD5"/>
    <w:rsid w:val="00B46309"/>
    <w:rsid w:val="00B5672F"/>
    <w:rsid w:val="00B7635F"/>
    <w:rsid w:val="00B91D7D"/>
    <w:rsid w:val="00B92D5A"/>
    <w:rsid w:val="00BA2B21"/>
    <w:rsid w:val="00BA5552"/>
    <w:rsid w:val="00BA77C5"/>
    <w:rsid w:val="00BC4AA4"/>
    <w:rsid w:val="00BD0EA0"/>
    <w:rsid w:val="00BD55BD"/>
    <w:rsid w:val="00BD58DD"/>
    <w:rsid w:val="00BE2900"/>
    <w:rsid w:val="00BF0655"/>
    <w:rsid w:val="00BF5513"/>
    <w:rsid w:val="00C0063B"/>
    <w:rsid w:val="00C00EF8"/>
    <w:rsid w:val="00C0530E"/>
    <w:rsid w:val="00C136BA"/>
    <w:rsid w:val="00C13726"/>
    <w:rsid w:val="00C21FE6"/>
    <w:rsid w:val="00C2419B"/>
    <w:rsid w:val="00C30C6F"/>
    <w:rsid w:val="00C32700"/>
    <w:rsid w:val="00C32C71"/>
    <w:rsid w:val="00C42352"/>
    <w:rsid w:val="00C42455"/>
    <w:rsid w:val="00C43D11"/>
    <w:rsid w:val="00C542BE"/>
    <w:rsid w:val="00C61B5F"/>
    <w:rsid w:val="00C674E2"/>
    <w:rsid w:val="00C8326B"/>
    <w:rsid w:val="00C85A41"/>
    <w:rsid w:val="00C879EF"/>
    <w:rsid w:val="00C87D03"/>
    <w:rsid w:val="00C902C4"/>
    <w:rsid w:val="00CA2746"/>
    <w:rsid w:val="00CA3308"/>
    <w:rsid w:val="00CA4144"/>
    <w:rsid w:val="00CA795B"/>
    <w:rsid w:val="00CB1CB1"/>
    <w:rsid w:val="00CB2905"/>
    <w:rsid w:val="00CB2CC3"/>
    <w:rsid w:val="00CC34F0"/>
    <w:rsid w:val="00CC425C"/>
    <w:rsid w:val="00CD7F7E"/>
    <w:rsid w:val="00D02077"/>
    <w:rsid w:val="00D06E78"/>
    <w:rsid w:val="00D11002"/>
    <w:rsid w:val="00D418AA"/>
    <w:rsid w:val="00D43770"/>
    <w:rsid w:val="00D54279"/>
    <w:rsid w:val="00D605FB"/>
    <w:rsid w:val="00D75CB5"/>
    <w:rsid w:val="00D90B23"/>
    <w:rsid w:val="00D94428"/>
    <w:rsid w:val="00D96601"/>
    <w:rsid w:val="00DA014D"/>
    <w:rsid w:val="00DA0DAA"/>
    <w:rsid w:val="00DA6643"/>
    <w:rsid w:val="00DB069A"/>
    <w:rsid w:val="00DC2300"/>
    <w:rsid w:val="00DC2ED6"/>
    <w:rsid w:val="00DC34B5"/>
    <w:rsid w:val="00DC4416"/>
    <w:rsid w:val="00DC652C"/>
    <w:rsid w:val="00DD0229"/>
    <w:rsid w:val="00DD4358"/>
    <w:rsid w:val="00DD675C"/>
    <w:rsid w:val="00DE2E96"/>
    <w:rsid w:val="00DE3933"/>
    <w:rsid w:val="00DE4C9D"/>
    <w:rsid w:val="00DE5552"/>
    <w:rsid w:val="00DF239F"/>
    <w:rsid w:val="00E01290"/>
    <w:rsid w:val="00E141B1"/>
    <w:rsid w:val="00E202F8"/>
    <w:rsid w:val="00E20DA0"/>
    <w:rsid w:val="00E405B4"/>
    <w:rsid w:val="00E514BB"/>
    <w:rsid w:val="00E667BA"/>
    <w:rsid w:val="00E70692"/>
    <w:rsid w:val="00E81353"/>
    <w:rsid w:val="00E92032"/>
    <w:rsid w:val="00E93CD7"/>
    <w:rsid w:val="00E96302"/>
    <w:rsid w:val="00E97719"/>
    <w:rsid w:val="00EA7390"/>
    <w:rsid w:val="00EB209C"/>
    <w:rsid w:val="00EC25B1"/>
    <w:rsid w:val="00ED0D80"/>
    <w:rsid w:val="00ED22D9"/>
    <w:rsid w:val="00ED4A52"/>
    <w:rsid w:val="00ED6518"/>
    <w:rsid w:val="00ED7D18"/>
    <w:rsid w:val="00EE06B8"/>
    <w:rsid w:val="00EE12A7"/>
    <w:rsid w:val="00EE3CA0"/>
    <w:rsid w:val="00EE6D09"/>
    <w:rsid w:val="00EF6D0F"/>
    <w:rsid w:val="00F00978"/>
    <w:rsid w:val="00F16345"/>
    <w:rsid w:val="00F234A6"/>
    <w:rsid w:val="00F255E5"/>
    <w:rsid w:val="00F334C2"/>
    <w:rsid w:val="00F34015"/>
    <w:rsid w:val="00F4072C"/>
    <w:rsid w:val="00F41E66"/>
    <w:rsid w:val="00F458F8"/>
    <w:rsid w:val="00F508C8"/>
    <w:rsid w:val="00F50C93"/>
    <w:rsid w:val="00F52A95"/>
    <w:rsid w:val="00F54B94"/>
    <w:rsid w:val="00F567AE"/>
    <w:rsid w:val="00F56F56"/>
    <w:rsid w:val="00F62D49"/>
    <w:rsid w:val="00F64364"/>
    <w:rsid w:val="00F70D14"/>
    <w:rsid w:val="00F71811"/>
    <w:rsid w:val="00F771C7"/>
    <w:rsid w:val="00F77EAA"/>
    <w:rsid w:val="00F85EFD"/>
    <w:rsid w:val="00F866F6"/>
    <w:rsid w:val="00F93DB3"/>
    <w:rsid w:val="00FA2E9C"/>
    <w:rsid w:val="00FA4032"/>
    <w:rsid w:val="00FA5532"/>
    <w:rsid w:val="00FB2099"/>
    <w:rsid w:val="00FB2174"/>
    <w:rsid w:val="00FB3978"/>
    <w:rsid w:val="00FB3D5B"/>
    <w:rsid w:val="00FB610F"/>
    <w:rsid w:val="00FD287D"/>
    <w:rsid w:val="00FD5CA3"/>
    <w:rsid w:val="00FE081D"/>
    <w:rsid w:val="00FE2DDE"/>
    <w:rsid w:val="00FE3C8E"/>
    <w:rsid w:val="00FE7FFA"/>
    <w:rsid w:val="00FF0F00"/>
    <w:rsid w:val="00FF525D"/>
    <w:rsid w:val="0BD76CC1"/>
    <w:rsid w:val="17779028"/>
    <w:rsid w:val="1B5B109F"/>
    <w:rsid w:val="1BDF8EB9"/>
    <w:rsid w:val="1BE9449F"/>
    <w:rsid w:val="1DFF6A68"/>
    <w:rsid w:val="1EFFAF93"/>
    <w:rsid w:val="1F535BFE"/>
    <w:rsid w:val="1F6B6C34"/>
    <w:rsid w:val="1F6D9557"/>
    <w:rsid w:val="1F7DD7D5"/>
    <w:rsid w:val="1F9FF807"/>
    <w:rsid w:val="1FEF9956"/>
    <w:rsid w:val="1FFA4036"/>
    <w:rsid w:val="1FFE8B87"/>
    <w:rsid w:val="1FFF7EFE"/>
    <w:rsid w:val="24F7EB88"/>
    <w:rsid w:val="2687BEBA"/>
    <w:rsid w:val="27DF2F2D"/>
    <w:rsid w:val="27FE7E99"/>
    <w:rsid w:val="27FF607B"/>
    <w:rsid w:val="29DBAD77"/>
    <w:rsid w:val="2B5E00AD"/>
    <w:rsid w:val="2B93F4A0"/>
    <w:rsid w:val="2D3C098A"/>
    <w:rsid w:val="2D690ECA"/>
    <w:rsid w:val="2DB5A66F"/>
    <w:rsid w:val="2DBFA674"/>
    <w:rsid w:val="2EBE1E89"/>
    <w:rsid w:val="2FEED099"/>
    <w:rsid w:val="31F2A51B"/>
    <w:rsid w:val="333BDACD"/>
    <w:rsid w:val="3678D420"/>
    <w:rsid w:val="36EEE2E6"/>
    <w:rsid w:val="36F9945F"/>
    <w:rsid w:val="3757CF3E"/>
    <w:rsid w:val="3773AE8B"/>
    <w:rsid w:val="377FE5EA"/>
    <w:rsid w:val="3BE71652"/>
    <w:rsid w:val="3C32B04B"/>
    <w:rsid w:val="3CFDDB60"/>
    <w:rsid w:val="3DF7648B"/>
    <w:rsid w:val="3EB76664"/>
    <w:rsid w:val="3ECFF53B"/>
    <w:rsid w:val="3EED2667"/>
    <w:rsid w:val="3EFD04BF"/>
    <w:rsid w:val="3EFF56F6"/>
    <w:rsid w:val="3F77EBB0"/>
    <w:rsid w:val="3FBE5F80"/>
    <w:rsid w:val="3FF59EEA"/>
    <w:rsid w:val="3FF78066"/>
    <w:rsid w:val="3FFBC762"/>
    <w:rsid w:val="3FFBD851"/>
    <w:rsid w:val="45D52731"/>
    <w:rsid w:val="47AFAB35"/>
    <w:rsid w:val="4AF67B1D"/>
    <w:rsid w:val="4BF384EF"/>
    <w:rsid w:val="4BFF0CEE"/>
    <w:rsid w:val="4CFE55C8"/>
    <w:rsid w:val="4F2772C0"/>
    <w:rsid w:val="4F3FCE71"/>
    <w:rsid w:val="4F52EF7B"/>
    <w:rsid w:val="4FEF5643"/>
    <w:rsid w:val="4FF5B4DC"/>
    <w:rsid w:val="51E76D49"/>
    <w:rsid w:val="537FDA76"/>
    <w:rsid w:val="537FF2B8"/>
    <w:rsid w:val="53D7B750"/>
    <w:rsid w:val="557E7ACF"/>
    <w:rsid w:val="5676A8FC"/>
    <w:rsid w:val="57BF58E8"/>
    <w:rsid w:val="57CFD13E"/>
    <w:rsid w:val="57EF8FD6"/>
    <w:rsid w:val="57FF5FD8"/>
    <w:rsid w:val="59CB64B4"/>
    <w:rsid w:val="59F760EA"/>
    <w:rsid w:val="5B158B3B"/>
    <w:rsid w:val="5B53B9A4"/>
    <w:rsid w:val="5B99CFB7"/>
    <w:rsid w:val="5BCAECAB"/>
    <w:rsid w:val="5C5F257C"/>
    <w:rsid w:val="5D77E88E"/>
    <w:rsid w:val="5DBE92AC"/>
    <w:rsid w:val="5DEA776D"/>
    <w:rsid w:val="5EAD2F9B"/>
    <w:rsid w:val="5EFB11C2"/>
    <w:rsid w:val="5EFE369D"/>
    <w:rsid w:val="5F3D1B6B"/>
    <w:rsid w:val="5F3DB62C"/>
    <w:rsid w:val="5F6931BB"/>
    <w:rsid w:val="5FBFC2ED"/>
    <w:rsid w:val="5FEF0A00"/>
    <w:rsid w:val="5FF755E4"/>
    <w:rsid w:val="5FFDB75B"/>
    <w:rsid w:val="5FFF5CD1"/>
    <w:rsid w:val="5FFFA22D"/>
    <w:rsid w:val="5FFFD465"/>
    <w:rsid w:val="63A5B6E8"/>
    <w:rsid w:val="643EF1D2"/>
    <w:rsid w:val="64FFF51E"/>
    <w:rsid w:val="669F29D5"/>
    <w:rsid w:val="669F4800"/>
    <w:rsid w:val="677FD78A"/>
    <w:rsid w:val="67AD44E8"/>
    <w:rsid w:val="67BF1861"/>
    <w:rsid w:val="67F5D225"/>
    <w:rsid w:val="67F63BD9"/>
    <w:rsid w:val="69BFD6BE"/>
    <w:rsid w:val="69E7A295"/>
    <w:rsid w:val="6A38891B"/>
    <w:rsid w:val="6AF73394"/>
    <w:rsid w:val="6B5B978E"/>
    <w:rsid w:val="6B7FC222"/>
    <w:rsid w:val="6BF6C730"/>
    <w:rsid w:val="6CFD4DBB"/>
    <w:rsid w:val="6DBE44E9"/>
    <w:rsid w:val="6DD72BD4"/>
    <w:rsid w:val="6DE7554A"/>
    <w:rsid w:val="6DEE2DBF"/>
    <w:rsid w:val="6DF777F2"/>
    <w:rsid w:val="6E9CA262"/>
    <w:rsid w:val="6EF7818C"/>
    <w:rsid w:val="6EF7E76E"/>
    <w:rsid w:val="6EF91260"/>
    <w:rsid w:val="6FBDD296"/>
    <w:rsid w:val="6FBF42F1"/>
    <w:rsid w:val="6FDD5AD2"/>
    <w:rsid w:val="6FEB451A"/>
    <w:rsid w:val="6FEEC3E4"/>
    <w:rsid w:val="6FF7FA30"/>
    <w:rsid w:val="6FFD8444"/>
    <w:rsid w:val="6FFE49CB"/>
    <w:rsid w:val="6FFFD822"/>
    <w:rsid w:val="71F5E3D8"/>
    <w:rsid w:val="752F26B7"/>
    <w:rsid w:val="75AFF592"/>
    <w:rsid w:val="75CFB899"/>
    <w:rsid w:val="75DFF0CE"/>
    <w:rsid w:val="767DFD0F"/>
    <w:rsid w:val="76FADA08"/>
    <w:rsid w:val="773F755F"/>
    <w:rsid w:val="77AE512C"/>
    <w:rsid w:val="77AF34BC"/>
    <w:rsid w:val="77AF3541"/>
    <w:rsid w:val="77B378CE"/>
    <w:rsid w:val="77C3B1A5"/>
    <w:rsid w:val="77DD2306"/>
    <w:rsid w:val="77DFC8D5"/>
    <w:rsid w:val="77EDD06B"/>
    <w:rsid w:val="77F45945"/>
    <w:rsid w:val="77F78D09"/>
    <w:rsid w:val="77FB82BB"/>
    <w:rsid w:val="79A3CF02"/>
    <w:rsid w:val="79BEA5D4"/>
    <w:rsid w:val="79F5E849"/>
    <w:rsid w:val="79FB15DB"/>
    <w:rsid w:val="7A576CAE"/>
    <w:rsid w:val="7A7AFC1D"/>
    <w:rsid w:val="7AE1B072"/>
    <w:rsid w:val="7AFEAD86"/>
    <w:rsid w:val="7B8122C6"/>
    <w:rsid w:val="7BBF23EB"/>
    <w:rsid w:val="7BCB6D49"/>
    <w:rsid w:val="7BD6665A"/>
    <w:rsid w:val="7BEB9165"/>
    <w:rsid w:val="7BED57A6"/>
    <w:rsid w:val="7BEF8FCC"/>
    <w:rsid w:val="7BFD000E"/>
    <w:rsid w:val="7BFD8382"/>
    <w:rsid w:val="7BFF67DD"/>
    <w:rsid w:val="7BFF69C5"/>
    <w:rsid w:val="7C33C249"/>
    <w:rsid w:val="7CDFDB41"/>
    <w:rsid w:val="7CFCD13B"/>
    <w:rsid w:val="7D02E931"/>
    <w:rsid w:val="7D3F77C2"/>
    <w:rsid w:val="7D9C8B95"/>
    <w:rsid w:val="7D9D383C"/>
    <w:rsid w:val="7DA50C97"/>
    <w:rsid w:val="7DB7E3D5"/>
    <w:rsid w:val="7DB98B0C"/>
    <w:rsid w:val="7DBD4C26"/>
    <w:rsid w:val="7DBF65FD"/>
    <w:rsid w:val="7DBFFA12"/>
    <w:rsid w:val="7DD74D69"/>
    <w:rsid w:val="7DDC67EF"/>
    <w:rsid w:val="7DDF65BC"/>
    <w:rsid w:val="7DED8BC1"/>
    <w:rsid w:val="7DF9BEED"/>
    <w:rsid w:val="7DFA13C6"/>
    <w:rsid w:val="7DFAEAEA"/>
    <w:rsid w:val="7DFCD770"/>
    <w:rsid w:val="7DFE2765"/>
    <w:rsid w:val="7DFF01DF"/>
    <w:rsid w:val="7DFFB8FE"/>
    <w:rsid w:val="7E5DDD2C"/>
    <w:rsid w:val="7E63EFBB"/>
    <w:rsid w:val="7E6B1686"/>
    <w:rsid w:val="7E7BE8DB"/>
    <w:rsid w:val="7E7FA624"/>
    <w:rsid w:val="7E8EABF3"/>
    <w:rsid w:val="7ECFBA79"/>
    <w:rsid w:val="7EDE8430"/>
    <w:rsid w:val="7EEDCFB9"/>
    <w:rsid w:val="7EF79652"/>
    <w:rsid w:val="7F3F9AFF"/>
    <w:rsid w:val="7F6D0029"/>
    <w:rsid w:val="7F7B232B"/>
    <w:rsid w:val="7F7B2F91"/>
    <w:rsid w:val="7F7B8741"/>
    <w:rsid w:val="7F7F26AA"/>
    <w:rsid w:val="7F7F758B"/>
    <w:rsid w:val="7F9B1374"/>
    <w:rsid w:val="7FB7515E"/>
    <w:rsid w:val="7FBB2A7B"/>
    <w:rsid w:val="7FBF6313"/>
    <w:rsid w:val="7FCF620A"/>
    <w:rsid w:val="7FD6FF25"/>
    <w:rsid w:val="7FDB065C"/>
    <w:rsid w:val="7FDB4D15"/>
    <w:rsid w:val="7FDE641D"/>
    <w:rsid w:val="7FE71A2C"/>
    <w:rsid w:val="7FEBA050"/>
    <w:rsid w:val="7FEC7F1E"/>
    <w:rsid w:val="7FF57B09"/>
    <w:rsid w:val="7FF9EE69"/>
    <w:rsid w:val="7FFA5347"/>
    <w:rsid w:val="7FFB4941"/>
    <w:rsid w:val="7FFB9D9E"/>
    <w:rsid w:val="7FFEB7BC"/>
    <w:rsid w:val="7FFEFD20"/>
    <w:rsid w:val="7FFEFEC9"/>
    <w:rsid w:val="7FFFD2E2"/>
    <w:rsid w:val="886F5F62"/>
    <w:rsid w:val="8D3648FC"/>
    <w:rsid w:val="8EBDE660"/>
    <w:rsid w:val="8EFF50B6"/>
    <w:rsid w:val="8FD9A43E"/>
    <w:rsid w:val="95EE0302"/>
    <w:rsid w:val="96DF5C06"/>
    <w:rsid w:val="97FE4CE4"/>
    <w:rsid w:val="98DE66A6"/>
    <w:rsid w:val="9B3D9D8E"/>
    <w:rsid w:val="9B77097F"/>
    <w:rsid w:val="9BFFC945"/>
    <w:rsid w:val="9D7617E1"/>
    <w:rsid w:val="9DEF2455"/>
    <w:rsid w:val="9F3DDEA0"/>
    <w:rsid w:val="9FBFD113"/>
    <w:rsid w:val="9FF94FCF"/>
    <w:rsid w:val="9FF9A263"/>
    <w:rsid w:val="A14D144C"/>
    <w:rsid w:val="A2442772"/>
    <w:rsid w:val="A48DB457"/>
    <w:rsid w:val="A7EF61D4"/>
    <w:rsid w:val="A9F654A4"/>
    <w:rsid w:val="AB7E6561"/>
    <w:rsid w:val="AB97888B"/>
    <w:rsid w:val="ACFF61A5"/>
    <w:rsid w:val="ADFDBE58"/>
    <w:rsid w:val="AE5BDEA5"/>
    <w:rsid w:val="AF7EDCD5"/>
    <w:rsid w:val="AFAF3CD4"/>
    <w:rsid w:val="B5B79431"/>
    <w:rsid w:val="B5FBABFD"/>
    <w:rsid w:val="B69F2BE1"/>
    <w:rsid w:val="B732DC33"/>
    <w:rsid w:val="B79F0A8E"/>
    <w:rsid w:val="B7AF6EB5"/>
    <w:rsid w:val="B7DDEF38"/>
    <w:rsid w:val="B7EFC740"/>
    <w:rsid w:val="B7FF5F6F"/>
    <w:rsid w:val="B83F6F57"/>
    <w:rsid w:val="B8B99F02"/>
    <w:rsid w:val="BA7B23C6"/>
    <w:rsid w:val="BAAF255B"/>
    <w:rsid w:val="BAEF0CF7"/>
    <w:rsid w:val="BAEFF009"/>
    <w:rsid w:val="BAFFA2ED"/>
    <w:rsid w:val="BB4E3125"/>
    <w:rsid w:val="BB7EC024"/>
    <w:rsid w:val="BB93D1D4"/>
    <w:rsid w:val="BBAE0681"/>
    <w:rsid w:val="BBBE6843"/>
    <w:rsid w:val="BBDEBB16"/>
    <w:rsid w:val="BE9F9D17"/>
    <w:rsid w:val="BEE4E03E"/>
    <w:rsid w:val="BEFE3BA2"/>
    <w:rsid w:val="BF1EF94E"/>
    <w:rsid w:val="BF5F64B0"/>
    <w:rsid w:val="BFB7D6B8"/>
    <w:rsid w:val="BFBB1FB6"/>
    <w:rsid w:val="BFDA6515"/>
    <w:rsid w:val="BFE85AD7"/>
    <w:rsid w:val="BFEE5976"/>
    <w:rsid w:val="BFF4AE28"/>
    <w:rsid w:val="BFF6688D"/>
    <w:rsid w:val="BFF74DBE"/>
    <w:rsid w:val="BFF79AC8"/>
    <w:rsid w:val="BFF7F745"/>
    <w:rsid w:val="BFFB1B9A"/>
    <w:rsid w:val="BFFD0F67"/>
    <w:rsid w:val="BFFEB31B"/>
    <w:rsid w:val="BFFEBCAE"/>
    <w:rsid w:val="BFFEF8B8"/>
    <w:rsid w:val="BFFF723F"/>
    <w:rsid w:val="BFFFAC02"/>
    <w:rsid w:val="C37700D9"/>
    <w:rsid w:val="C7F52F5F"/>
    <w:rsid w:val="CA5FD9DE"/>
    <w:rsid w:val="CAE5558C"/>
    <w:rsid w:val="CAEF6A79"/>
    <w:rsid w:val="CB7F81D9"/>
    <w:rsid w:val="CDD7850C"/>
    <w:rsid w:val="CDED8FE0"/>
    <w:rsid w:val="CDFFED78"/>
    <w:rsid w:val="CFBFC455"/>
    <w:rsid w:val="CFDDFEAB"/>
    <w:rsid w:val="D54FE010"/>
    <w:rsid w:val="D59744AE"/>
    <w:rsid w:val="D5FE1346"/>
    <w:rsid w:val="D6AA715F"/>
    <w:rsid w:val="D7599B91"/>
    <w:rsid w:val="D7FC6215"/>
    <w:rsid w:val="D7FE9BD6"/>
    <w:rsid w:val="D9A4C10D"/>
    <w:rsid w:val="DA1F45A3"/>
    <w:rsid w:val="DBEC84B4"/>
    <w:rsid w:val="DBFBA64E"/>
    <w:rsid w:val="DBFF8AD6"/>
    <w:rsid w:val="DCF7B5A5"/>
    <w:rsid w:val="DDC4391D"/>
    <w:rsid w:val="DDFE5780"/>
    <w:rsid w:val="DE57966C"/>
    <w:rsid w:val="DEDBDEDB"/>
    <w:rsid w:val="DEE6A8CF"/>
    <w:rsid w:val="DEF1EAFC"/>
    <w:rsid w:val="DEFA2153"/>
    <w:rsid w:val="DEFDCC7E"/>
    <w:rsid w:val="DF18D068"/>
    <w:rsid w:val="DF546516"/>
    <w:rsid w:val="DF5DB1E2"/>
    <w:rsid w:val="DF5F36FF"/>
    <w:rsid w:val="DF6F8BEF"/>
    <w:rsid w:val="DF9FCB22"/>
    <w:rsid w:val="DFB7A80D"/>
    <w:rsid w:val="DFBF9345"/>
    <w:rsid w:val="DFCF30E7"/>
    <w:rsid w:val="DFDD4BD6"/>
    <w:rsid w:val="DFFCDA94"/>
    <w:rsid w:val="E17E6743"/>
    <w:rsid w:val="E25E6039"/>
    <w:rsid w:val="E6EF8001"/>
    <w:rsid w:val="E7DF8F22"/>
    <w:rsid w:val="E99BDAFF"/>
    <w:rsid w:val="EAA9BCBB"/>
    <w:rsid w:val="EB060684"/>
    <w:rsid w:val="EBFF2AFB"/>
    <w:rsid w:val="EEB79223"/>
    <w:rsid w:val="EED260DB"/>
    <w:rsid w:val="EEF644D7"/>
    <w:rsid w:val="EF2922B6"/>
    <w:rsid w:val="EF2E280F"/>
    <w:rsid w:val="EF6ED528"/>
    <w:rsid w:val="EF6FB0D0"/>
    <w:rsid w:val="EF7BA79E"/>
    <w:rsid w:val="EFA510F6"/>
    <w:rsid w:val="EFE79A2D"/>
    <w:rsid w:val="EFF79F57"/>
    <w:rsid w:val="EFFF3643"/>
    <w:rsid w:val="F02F9712"/>
    <w:rsid w:val="F13FF0A9"/>
    <w:rsid w:val="F1AFBCB6"/>
    <w:rsid w:val="F2DD5B82"/>
    <w:rsid w:val="F2FF22C8"/>
    <w:rsid w:val="F3171580"/>
    <w:rsid w:val="F34F6208"/>
    <w:rsid w:val="F36F439F"/>
    <w:rsid w:val="F376F738"/>
    <w:rsid w:val="F3BD0F7C"/>
    <w:rsid w:val="F3BE1279"/>
    <w:rsid w:val="F3BF8BA6"/>
    <w:rsid w:val="F45DB2A5"/>
    <w:rsid w:val="F4B5E64C"/>
    <w:rsid w:val="F58F40B4"/>
    <w:rsid w:val="F59BF873"/>
    <w:rsid w:val="F59FF60E"/>
    <w:rsid w:val="F5AF8063"/>
    <w:rsid w:val="F5BFFEDC"/>
    <w:rsid w:val="F5EF1A26"/>
    <w:rsid w:val="F5FBA7F7"/>
    <w:rsid w:val="F5FDAF68"/>
    <w:rsid w:val="F69F6E65"/>
    <w:rsid w:val="F6D97704"/>
    <w:rsid w:val="F73BBA4F"/>
    <w:rsid w:val="F7487C3D"/>
    <w:rsid w:val="F777639E"/>
    <w:rsid w:val="F7B36800"/>
    <w:rsid w:val="F7DC1D5C"/>
    <w:rsid w:val="F7DD7C63"/>
    <w:rsid w:val="F7ED8DBD"/>
    <w:rsid w:val="F7EE37D0"/>
    <w:rsid w:val="F7EFEE27"/>
    <w:rsid w:val="F7F35137"/>
    <w:rsid w:val="F7FFA697"/>
    <w:rsid w:val="F8DBAF14"/>
    <w:rsid w:val="F8EFE65B"/>
    <w:rsid w:val="F9DE01D2"/>
    <w:rsid w:val="F9EF741A"/>
    <w:rsid w:val="F9F7466B"/>
    <w:rsid w:val="F9FB5613"/>
    <w:rsid w:val="F9FBCA7E"/>
    <w:rsid w:val="F9FD9489"/>
    <w:rsid w:val="F9FEC011"/>
    <w:rsid w:val="F9FF6269"/>
    <w:rsid w:val="FA6F5581"/>
    <w:rsid w:val="FAF156E4"/>
    <w:rsid w:val="FAFAA8D7"/>
    <w:rsid w:val="FB3E8ABD"/>
    <w:rsid w:val="FBAEC13C"/>
    <w:rsid w:val="FBB1BD98"/>
    <w:rsid w:val="FBBCEFDF"/>
    <w:rsid w:val="FBCFE9AD"/>
    <w:rsid w:val="FBDE47D3"/>
    <w:rsid w:val="FBDE8FBD"/>
    <w:rsid w:val="FBEB8969"/>
    <w:rsid w:val="FBEF22B6"/>
    <w:rsid w:val="FBFF56D6"/>
    <w:rsid w:val="FBFFBE96"/>
    <w:rsid w:val="FCE3557F"/>
    <w:rsid w:val="FCEEE162"/>
    <w:rsid w:val="FCF7E761"/>
    <w:rsid w:val="FCFE9A33"/>
    <w:rsid w:val="FD5BDE7D"/>
    <w:rsid w:val="FD7C9DC3"/>
    <w:rsid w:val="FD7F25FC"/>
    <w:rsid w:val="FDBB67B0"/>
    <w:rsid w:val="FDCD36BE"/>
    <w:rsid w:val="FDDB27F5"/>
    <w:rsid w:val="FDF239C2"/>
    <w:rsid w:val="FDFB8B6E"/>
    <w:rsid w:val="FDFB9BF0"/>
    <w:rsid w:val="FDFF98FC"/>
    <w:rsid w:val="FDFFDB3A"/>
    <w:rsid w:val="FE1EEAB0"/>
    <w:rsid w:val="FE4FFD98"/>
    <w:rsid w:val="FE577F1B"/>
    <w:rsid w:val="FE7BC679"/>
    <w:rsid w:val="FEBFF500"/>
    <w:rsid w:val="FEC977BC"/>
    <w:rsid w:val="FECA6EC8"/>
    <w:rsid w:val="FED52324"/>
    <w:rsid w:val="FED718C1"/>
    <w:rsid w:val="FEE64FBD"/>
    <w:rsid w:val="FEEB4562"/>
    <w:rsid w:val="FF1F81DA"/>
    <w:rsid w:val="FF2BD5F5"/>
    <w:rsid w:val="FF3CAD5A"/>
    <w:rsid w:val="FF6EEF3D"/>
    <w:rsid w:val="FF73C029"/>
    <w:rsid w:val="FF7D0535"/>
    <w:rsid w:val="FF7F26F5"/>
    <w:rsid w:val="FF7F2E14"/>
    <w:rsid w:val="FF858B90"/>
    <w:rsid w:val="FF990639"/>
    <w:rsid w:val="FF9FB2AC"/>
    <w:rsid w:val="FFB71867"/>
    <w:rsid w:val="FFBF4513"/>
    <w:rsid w:val="FFC21C36"/>
    <w:rsid w:val="FFCED54C"/>
    <w:rsid w:val="FFD23373"/>
    <w:rsid w:val="FFDF2766"/>
    <w:rsid w:val="FFDFC41F"/>
    <w:rsid w:val="FFE28E05"/>
    <w:rsid w:val="FFEE4F4A"/>
    <w:rsid w:val="FFEF6D0C"/>
    <w:rsid w:val="FFF572CE"/>
    <w:rsid w:val="FFF61E88"/>
    <w:rsid w:val="FFF7ED74"/>
    <w:rsid w:val="FFF9B363"/>
    <w:rsid w:val="FFFA5071"/>
    <w:rsid w:val="FFFA5A44"/>
    <w:rsid w:val="FFFCE53A"/>
    <w:rsid w:val="FFFD112B"/>
    <w:rsid w:val="FFFD304D"/>
    <w:rsid w:val="FFFE9259"/>
    <w:rsid w:val="FFFF6162"/>
    <w:rsid w:val="FFFF9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3"/>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4">
    <w:name w:val="heading 2"/>
    <w:basedOn w:val="1"/>
    <w:next w:val="1"/>
    <w:link w:val="24"/>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5">
    <w:name w:val="heading 3"/>
    <w:basedOn w:val="1"/>
    <w:next w:val="1"/>
    <w:link w:val="25"/>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6">
    <w:name w:val="heading 4"/>
    <w:basedOn w:val="1"/>
    <w:next w:val="1"/>
    <w:link w:val="26"/>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7">
    <w:name w:val="heading 5"/>
    <w:basedOn w:val="1"/>
    <w:next w:val="1"/>
    <w:link w:val="27"/>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8">
    <w:name w:val="heading 6"/>
    <w:basedOn w:val="1"/>
    <w:next w:val="1"/>
    <w:link w:val="28"/>
    <w:semiHidden/>
    <w:unhideWhenUsed/>
    <w:qFormat/>
    <w:uiPriority w:val="9"/>
    <w:pPr>
      <w:keepNext/>
      <w:keepLines/>
      <w:spacing w:before="40"/>
      <w:outlineLvl w:val="5"/>
    </w:pPr>
    <w:rPr>
      <w:rFonts w:cstheme="majorBidi"/>
      <w:b/>
      <w:bCs/>
      <w:color w:val="104862" w:themeColor="accent1" w:themeShade="BF"/>
    </w:rPr>
  </w:style>
  <w:style w:type="paragraph" w:styleId="9">
    <w:name w:val="heading 7"/>
    <w:basedOn w:val="1"/>
    <w:next w:val="1"/>
    <w:link w:val="29"/>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30"/>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31"/>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Times New Roman" w:hAnsi="Times New Roman" w:eastAsia="黑体" w:cs="Times New Roman"/>
      <w:b/>
      <w:bCs/>
      <w:sz w:val="24"/>
      <w:szCs w:val="24"/>
    </w:rPr>
  </w:style>
  <w:style w:type="paragraph" w:styleId="12">
    <w:name w:val="annotation text"/>
    <w:basedOn w:val="1"/>
    <w:link w:val="48"/>
    <w:unhideWhenUsed/>
    <w:qFormat/>
    <w:uiPriority w:val="99"/>
    <w:pPr>
      <w:jc w:val="left"/>
    </w:pPr>
  </w:style>
  <w:style w:type="paragraph" w:styleId="13">
    <w:name w:val="Balloon Text"/>
    <w:basedOn w:val="1"/>
    <w:link w:val="44"/>
    <w:semiHidden/>
    <w:unhideWhenUsed/>
    <w:qFormat/>
    <w:uiPriority w:val="99"/>
    <w:rPr>
      <w:sz w:val="18"/>
      <w:szCs w:val="18"/>
    </w:rPr>
  </w:style>
  <w:style w:type="paragraph" w:styleId="14">
    <w:name w:val="footer"/>
    <w:basedOn w:val="1"/>
    <w:link w:val="42"/>
    <w:unhideWhenUsed/>
    <w:qFormat/>
    <w:uiPriority w:val="99"/>
    <w:pPr>
      <w:tabs>
        <w:tab w:val="center" w:pos="4153"/>
        <w:tab w:val="right" w:pos="8306"/>
      </w:tabs>
      <w:snapToGrid w:val="0"/>
      <w:jc w:val="left"/>
    </w:pPr>
    <w:rPr>
      <w:sz w:val="18"/>
      <w:szCs w:val="18"/>
    </w:rPr>
  </w:style>
  <w:style w:type="paragraph" w:styleId="15">
    <w:name w:val="header"/>
    <w:basedOn w:val="1"/>
    <w:link w:val="41"/>
    <w:unhideWhenUsed/>
    <w:qFormat/>
    <w:uiPriority w:val="99"/>
    <w:pPr>
      <w:tabs>
        <w:tab w:val="center" w:pos="4153"/>
        <w:tab w:val="right" w:pos="8306"/>
      </w:tabs>
      <w:snapToGrid w:val="0"/>
      <w:jc w:val="center"/>
    </w:pPr>
    <w:rPr>
      <w:sz w:val="18"/>
      <w:szCs w:val="18"/>
    </w:rPr>
  </w:style>
  <w:style w:type="paragraph" w:styleId="16">
    <w:name w:val="Subtitle"/>
    <w:basedOn w:val="1"/>
    <w:next w:val="1"/>
    <w:link w:val="33"/>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Title"/>
    <w:basedOn w:val="1"/>
    <w:next w:val="1"/>
    <w:link w:val="32"/>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8">
    <w:name w:val="annotation subject"/>
    <w:basedOn w:val="12"/>
    <w:next w:val="12"/>
    <w:link w:val="49"/>
    <w:semiHidden/>
    <w:unhideWhenUsed/>
    <w:qFormat/>
    <w:uiPriority w:val="99"/>
    <w:rPr>
      <w:b/>
      <w:bCs/>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annotation reference"/>
    <w:basedOn w:val="21"/>
    <w:semiHidden/>
    <w:unhideWhenUsed/>
    <w:qFormat/>
    <w:uiPriority w:val="99"/>
    <w:rPr>
      <w:sz w:val="21"/>
      <w:szCs w:val="21"/>
    </w:rPr>
  </w:style>
  <w:style w:type="character" w:customStyle="1" w:styleId="23">
    <w:name w:val="标题 1 字符"/>
    <w:basedOn w:val="21"/>
    <w:link w:val="3"/>
    <w:qFormat/>
    <w:uiPriority w:val="9"/>
    <w:rPr>
      <w:rFonts w:asciiTheme="majorHAnsi" w:hAnsiTheme="majorHAnsi" w:eastAsiaTheme="majorEastAsia" w:cstheme="majorBidi"/>
      <w:color w:val="104862" w:themeColor="accent1" w:themeShade="BF"/>
      <w:sz w:val="48"/>
      <w:szCs w:val="48"/>
    </w:rPr>
  </w:style>
  <w:style w:type="character" w:customStyle="1" w:styleId="24">
    <w:name w:val="标题 2 字符"/>
    <w:basedOn w:val="21"/>
    <w:link w:val="4"/>
    <w:semiHidden/>
    <w:qFormat/>
    <w:uiPriority w:val="9"/>
    <w:rPr>
      <w:rFonts w:asciiTheme="majorHAnsi" w:hAnsiTheme="majorHAnsi" w:eastAsiaTheme="majorEastAsia" w:cstheme="majorBidi"/>
      <w:color w:val="104862" w:themeColor="accent1" w:themeShade="BF"/>
      <w:sz w:val="40"/>
      <w:szCs w:val="40"/>
    </w:rPr>
  </w:style>
  <w:style w:type="character" w:customStyle="1" w:styleId="25">
    <w:name w:val="标题 3 字符"/>
    <w:basedOn w:val="21"/>
    <w:link w:val="5"/>
    <w:semiHidden/>
    <w:qFormat/>
    <w:uiPriority w:val="9"/>
    <w:rPr>
      <w:rFonts w:asciiTheme="majorHAnsi" w:hAnsiTheme="majorHAnsi" w:eastAsiaTheme="majorEastAsia" w:cstheme="majorBidi"/>
      <w:color w:val="104862" w:themeColor="accent1" w:themeShade="BF"/>
      <w:sz w:val="32"/>
      <w:szCs w:val="32"/>
    </w:rPr>
  </w:style>
  <w:style w:type="character" w:customStyle="1" w:styleId="26">
    <w:name w:val="标题 4 字符"/>
    <w:basedOn w:val="21"/>
    <w:link w:val="6"/>
    <w:semiHidden/>
    <w:qFormat/>
    <w:uiPriority w:val="9"/>
    <w:rPr>
      <w:rFonts w:cstheme="majorBidi"/>
      <w:color w:val="104862" w:themeColor="accent1" w:themeShade="BF"/>
      <w:sz w:val="28"/>
      <w:szCs w:val="28"/>
    </w:rPr>
  </w:style>
  <w:style w:type="character" w:customStyle="1" w:styleId="27">
    <w:name w:val="标题 5 字符"/>
    <w:basedOn w:val="21"/>
    <w:link w:val="7"/>
    <w:semiHidden/>
    <w:qFormat/>
    <w:uiPriority w:val="9"/>
    <w:rPr>
      <w:rFonts w:cstheme="majorBidi"/>
      <w:color w:val="104862" w:themeColor="accent1" w:themeShade="BF"/>
      <w:sz w:val="24"/>
      <w:szCs w:val="24"/>
    </w:rPr>
  </w:style>
  <w:style w:type="character" w:customStyle="1" w:styleId="28">
    <w:name w:val="标题 6 字符"/>
    <w:basedOn w:val="21"/>
    <w:link w:val="8"/>
    <w:semiHidden/>
    <w:qFormat/>
    <w:uiPriority w:val="9"/>
    <w:rPr>
      <w:rFonts w:cstheme="majorBidi"/>
      <w:b/>
      <w:bCs/>
      <w:color w:val="104862" w:themeColor="accent1" w:themeShade="BF"/>
    </w:rPr>
  </w:style>
  <w:style w:type="character" w:customStyle="1" w:styleId="29">
    <w:name w:val="标题 7 字符"/>
    <w:basedOn w:val="21"/>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0">
    <w:name w:val="标题 8 字符"/>
    <w:basedOn w:val="21"/>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1">
    <w:name w:val="标题 9 字符"/>
    <w:basedOn w:val="21"/>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2">
    <w:name w:val="标题 字符"/>
    <w:basedOn w:val="21"/>
    <w:link w:val="17"/>
    <w:qFormat/>
    <w:uiPriority w:val="10"/>
    <w:rPr>
      <w:rFonts w:asciiTheme="majorHAnsi" w:hAnsiTheme="majorHAnsi" w:eastAsiaTheme="majorEastAsia" w:cstheme="majorBidi"/>
      <w:spacing w:val="-10"/>
      <w:kern w:val="28"/>
      <w:sz w:val="56"/>
      <w:szCs w:val="56"/>
    </w:rPr>
  </w:style>
  <w:style w:type="character" w:customStyle="1" w:styleId="33">
    <w:name w:val="副标题 字符"/>
    <w:basedOn w:val="21"/>
    <w:link w:val="16"/>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4">
    <w:name w:val="Quote"/>
    <w:basedOn w:val="1"/>
    <w:next w:val="1"/>
    <w:link w:val="35"/>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5">
    <w:name w:val="引用 字符"/>
    <w:basedOn w:val="21"/>
    <w:link w:val="34"/>
    <w:qFormat/>
    <w:uiPriority w:val="29"/>
    <w:rPr>
      <w:i/>
      <w:iCs/>
      <w:color w:val="404040" w:themeColor="text1" w:themeTint="BF"/>
      <w14:textFill>
        <w14:solidFill>
          <w14:schemeClr w14:val="tx1">
            <w14:lumMod w14:val="75000"/>
            <w14:lumOff w14:val="25000"/>
          </w14:schemeClr>
        </w14:solidFill>
      </w14:textFill>
    </w:rPr>
  </w:style>
  <w:style w:type="paragraph" w:styleId="36">
    <w:name w:val="List Paragraph"/>
    <w:basedOn w:val="1"/>
    <w:qFormat/>
    <w:uiPriority w:val="34"/>
    <w:pPr>
      <w:ind w:left="720"/>
      <w:contextualSpacing/>
    </w:pPr>
  </w:style>
  <w:style w:type="character" w:customStyle="1" w:styleId="37">
    <w:name w:val="明显强调1"/>
    <w:basedOn w:val="21"/>
    <w:qFormat/>
    <w:uiPriority w:val="21"/>
    <w:rPr>
      <w:i/>
      <w:iCs/>
      <w:color w:val="104862" w:themeColor="accent1" w:themeShade="BF"/>
    </w:rPr>
  </w:style>
  <w:style w:type="paragraph" w:styleId="38">
    <w:name w:val="Intense Quote"/>
    <w:basedOn w:val="1"/>
    <w:next w:val="1"/>
    <w:link w:val="39"/>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9">
    <w:name w:val="明显引用 字符"/>
    <w:basedOn w:val="21"/>
    <w:link w:val="38"/>
    <w:qFormat/>
    <w:uiPriority w:val="30"/>
    <w:rPr>
      <w:i/>
      <w:iCs/>
      <w:color w:val="104862" w:themeColor="accent1" w:themeShade="BF"/>
    </w:rPr>
  </w:style>
  <w:style w:type="character" w:customStyle="1" w:styleId="40">
    <w:name w:val="明显参考1"/>
    <w:basedOn w:val="21"/>
    <w:qFormat/>
    <w:uiPriority w:val="32"/>
    <w:rPr>
      <w:b/>
      <w:bCs/>
      <w:smallCaps/>
      <w:color w:val="104862" w:themeColor="accent1" w:themeShade="BF"/>
      <w:spacing w:val="5"/>
    </w:rPr>
  </w:style>
  <w:style w:type="character" w:customStyle="1" w:styleId="41">
    <w:name w:val="页眉 字符"/>
    <w:basedOn w:val="21"/>
    <w:link w:val="15"/>
    <w:qFormat/>
    <w:uiPriority w:val="99"/>
    <w:rPr>
      <w:sz w:val="18"/>
      <w:szCs w:val="18"/>
    </w:rPr>
  </w:style>
  <w:style w:type="character" w:customStyle="1" w:styleId="42">
    <w:name w:val="页脚 字符"/>
    <w:basedOn w:val="21"/>
    <w:link w:val="14"/>
    <w:qFormat/>
    <w:uiPriority w:val="99"/>
    <w:rPr>
      <w:sz w:val="18"/>
      <w:szCs w:val="18"/>
    </w:rPr>
  </w:style>
  <w:style w:type="paragraph" w:customStyle="1" w:styleId="43">
    <w:name w:val="Default"/>
    <w:qFormat/>
    <w:uiPriority w:val="0"/>
    <w:pPr>
      <w:widowControl w:val="0"/>
      <w:autoSpaceDE w:val="0"/>
      <w:autoSpaceDN w:val="0"/>
      <w:adjustRightInd w:val="0"/>
      <w:spacing w:after="160" w:line="278" w:lineRule="auto"/>
    </w:pPr>
    <w:rPr>
      <w:rFonts w:ascii="宋体" w:hAnsi="Times New Roman" w:eastAsia="宋体" w:cs="宋体"/>
      <w:color w:val="000000"/>
      <w:sz w:val="24"/>
      <w:szCs w:val="24"/>
      <w:lang w:val="en-US" w:eastAsia="zh-CN" w:bidi="ar-SA"/>
    </w:rPr>
  </w:style>
  <w:style w:type="character" w:customStyle="1" w:styleId="44">
    <w:name w:val="批注框文本 字符"/>
    <w:basedOn w:val="21"/>
    <w:link w:val="13"/>
    <w:semiHidden/>
    <w:qFormat/>
    <w:uiPriority w:val="99"/>
    <w:rPr>
      <w:kern w:val="2"/>
      <w:sz w:val="18"/>
      <w:szCs w:val="18"/>
    </w:rPr>
  </w:style>
  <w:style w:type="paragraph" w:customStyle="1" w:styleId="45">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46">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47">
    <w:name w:val="修订3"/>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48">
    <w:name w:val="批注文字 字符"/>
    <w:basedOn w:val="21"/>
    <w:link w:val="12"/>
    <w:qFormat/>
    <w:uiPriority w:val="99"/>
    <w:rPr>
      <w:rFonts w:asciiTheme="minorHAnsi" w:hAnsiTheme="minorHAnsi" w:eastAsiaTheme="minorEastAsia" w:cstheme="minorBidi"/>
      <w:kern w:val="2"/>
      <w:sz w:val="21"/>
      <w:szCs w:val="22"/>
    </w:rPr>
  </w:style>
  <w:style w:type="character" w:customStyle="1" w:styleId="49">
    <w:name w:val="批注主题 字符"/>
    <w:basedOn w:val="48"/>
    <w:link w:val="18"/>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1055</Words>
  <Characters>6016</Characters>
  <Lines>50</Lines>
  <Paragraphs>14</Paragraphs>
  <TotalTime>27</TotalTime>
  <ScaleCrop>false</ScaleCrop>
  <LinksUpToDate>false</LinksUpToDate>
  <CharactersWithSpaces>7057</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2025-04-29T04:31:00Z</dcterms:created>
  <dc:creator>li wang</dc:creator>
  <cp:lastModifiedBy>昌</cp:lastModifiedBy>
  <cp:lastPrinted>2025-08-10T01:38:00Z</cp:lastPrinted>
  <dcterms:modified xsi:type="dcterms:W3CDTF">2025-08-28T16:09:12Z</dcterms:modified>
  <cp:revision>447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6AEFDF45BA0DC96EE4080A685FE7B749</vt:lpwstr>
  </property>
</Properties>
</file>