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附件1</w:t>
      </w:r>
    </w:p>
    <w:tbl>
      <w:tblPr>
        <w:tblStyle w:val="5"/>
        <w:tblW w:w="32372" w:type="dxa"/>
        <w:tblInd w:w="-6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5"/>
        <w:gridCol w:w="1305"/>
        <w:gridCol w:w="1800"/>
        <w:gridCol w:w="1455"/>
        <w:gridCol w:w="1245"/>
        <w:gridCol w:w="1770"/>
        <w:gridCol w:w="1740"/>
        <w:gridCol w:w="22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10020"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ascii="Times New Roman" w:hAnsi="Times New Roman" w:eastAsia="方正小标宋_GBK" w:cs="方正小标宋_GBK"/>
                <w:b/>
                <w:i w:val="0"/>
                <w:caps w:val="0"/>
                <w:color w:val="auto"/>
                <w:spacing w:val="0"/>
                <w:sz w:val="52"/>
                <w:szCs w:val="52"/>
                <w:u w:val="none"/>
              </w:rPr>
            </w:pPr>
            <w:bookmarkStart w:id="0" w:name="_GoBack"/>
            <w:r>
              <w:rPr>
                <w:rFonts w:hint="eastAsia" w:ascii="Times New Roman" w:hAnsi="Times New Roman" w:eastAsia="方正小标宋_GBK" w:cs="方正小标宋_GBK"/>
                <w:b/>
                <w:i w:val="0"/>
                <w:caps w:val="0"/>
                <w:color w:val="auto"/>
                <w:spacing w:val="0"/>
                <w:kern w:val="0"/>
                <w:sz w:val="52"/>
                <w:szCs w:val="52"/>
                <w:u w:val="none"/>
                <w:lang w:val="en-US" w:eastAsia="zh-CN"/>
              </w:rPr>
              <w:t>2019年市政府规范性文件备案表</w:t>
            </w:r>
            <w:bookmarkEnd w:id="0"/>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宋体" w:cs="宋体"/>
                <w:i w:val="0"/>
                <w:caps w:val="0"/>
                <w:color w:val="auto"/>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8" w:hRule="atLeast"/>
        </w:trPr>
        <w:tc>
          <w:tcPr>
            <w:tcW w:w="705"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宋体" w:cs="宋体"/>
                <w:b w:val="0"/>
                <w:bCs w:val="0"/>
                <w:i w:val="0"/>
                <w:caps w:val="0"/>
                <w:color w:val="auto"/>
                <w:spacing w:val="0"/>
                <w:sz w:val="28"/>
                <w:szCs w:val="28"/>
                <w:u w:val="none"/>
              </w:rPr>
            </w:pPr>
            <w:r>
              <w:rPr>
                <w:rFonts w:hint="eastAsia" w:ascii="Times New Roman" w:hAnsi="Times New Roman" w:eastAsia="宋体" w:cs="宋体"/>
                <w:b w:val="0"/>
                <w:bCs w:val="0"/>
                <w:i w:val="0"/>
                <w:caps w:val="0"/>
                <w:color w:val="auto"/>
                <w:spacing w:val="0"/>
                <w:kern w:val="0"/>
                <w:sz w:val="28"/>
                <w:szCs w:val="28"/>
                <w:u w:val="none"/>
                <w:lang w:val="en-US" w:eastAsia="zh-CN"/>
              </w:rPr>
              <w:t>序号</w:t>
            </w:r>
          </w:p>
        </w:tc>
        <w:tc>
          <w:tcPr>
            <w:tcW w:w="1305"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宋体" w:cs="宋体"/>
                <w:b w:val="0"/>
                <w:bCs w:val="0"/>
                <w:i w:val="0"/>
                <w:caps w:val="0"/>
                <w:color w:val="auto"/>
                <w:spacing w:val="0"/>
                <w:sz w:val="28"/>
                <w:szCs w:val="28"/>
                <w:u w:val="none"/>
              </w:rPr>
            </w:pPr>
            <w:r>
              <w:rPr>
                <w:rFonts w:hint="eastAsia" w:ascii="Times New Roman" w:hAnsi="Times New Roman" w:eastAsia="宋体" w:cs="宋体"/>
                <w:b w:val="0"/>
                <w:bCs w:val="0"/>
                <w:i w:val="0"/>
                <w:caps w:val="0"/>
                <w:color w:val="auto"/>
                <w:spacing w:val="0"/>
                <w:kern w:val="0"/>
                <w:sz w:val="28"/>
                <w:szCs w:val="28"/>
                <w:u w:val="none"/>
                <w:lang w:val="en-US" w:eastAsia="zh-CN"/>
              </w:rPr>
              <w:t>印发日期</w:t>
            </w:r>
          </w:p>
        </w:tc>
        <w:tc>
          <w:tcPr>
            <w:tcW w:w="180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宋体" w:cs="宋体"/>
                <w:b w:val="0"/>
                <w:bCs w:val="0"/>
                <w:i w:val="0"/>
                <w:caps w:val="0"/>
                <w:color w:val="auto"/>
                <w:spacing w:val="0"/>
                <w:sz w:val="28"/>
                <w:szCs w:val="28"/>
                <w:u w:val="none"/>
              </w:rPr>
            </w:pPr>
            <w:r>
              <w:rPr>
                <w:rFonts w:hint="eastAsia" w:ascii="Times New Roman" w:hAnsi="Times New Roman" w:eastAsia="宋体" w:cs="宋体"/>
                <w:b w:val="0"/>
                <w:bCs w:val="0"/>
                <w:i w:val="0"/>
                <w:caps w:val="0"/>
                <w:color w:val="auto"/>
                <w:spacing w:val="0"/>
                <w:kern w:val="0"/>
                <w:sz w:val="28"/>
                <w:szCs w:val="28"/>
                <w:u w:val="none"/>
                <w:lang w:val="en-US" w:eastAsia="zh-CN"/>
              </w:rPr>
              <w:t>文件标题</w:t>
            </w:r>
          </w:p>
        </w:tc>
        <w:tc>
          <w:tcPr>
            <w:tcW w:w="1455"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宋体" w:cs="宋体"/>
                <w:b w:val="0"/>
                <w:bCs w:val="0"/>
                <w:i w:val="0"/>
                <w:caps w:val="0"/>
                <w:color w:val="auto"/>
                <w:spacing w:val="0"/>
                <w:sz w:val="28"/>
                <w:szCs w:val="28"/>
                <w:u w:val="none"/>
              </w:rPr>
            </w:pPr>
            <w:r>
              <w:rPr>
                <w:rFonts w:hint="eastAsia" w:ascii="Times New Roman" w:hAnsi="Times New Roman" w:eastAsia="宋体" w:cs="宋体"/>
                <w:b w:val="0"/>
                <w:bCs w:val="0"/>
                <w:i w:val="0"/>
                <w:caps w:val="0"/>
                <w:color w:val="auto"/>
                <w:spacing w:val="0"/>
                <w:kern w:val="0"/>
                <w:sz w:val="28"/>
                <w:szCs w:val="28"/>
                <w:u w:val="none"/>
                <w:lang w:val="en-US" w:eastAsia="zh-CN"/>
              </w:rPr>
              <w:t>起草单位</w:t>
            </w:r>
          </w:p>
        </w:tc>
        <w:tc>
          <w:tcPr>
            <w:tcW w:w="1245"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宋体" w:cs="宋体"/>
                <w:b w:val="0"/>
                <w:bCs w:val="0"/>
                <w:i w:val="0"/>
                <w:caps w:val="0"/>
                <w:color w:val="auto"/>
                <w:spacing w:val="0"/>
                <w:sz w:val="28"/>
                <w:szCs w:val="28"/>
                <w:u w:val="none"/>
              </w:rPr>
            </w:pPr>
            <w:r>
              <w:rPr>
                <w:rFonts w:hint="eastAsia" w:ascii="Times New Roman" w:hAnsi="Times New Roman" w:eastAsia="宋体" w:cs="宋体"/>
                <w:b w:val="0"/>
                <w:bCs w:val="0"/>
                <w:i w:val="0"/>
                <w:caps w:val="0"/>
                <w:color w:val="auto"/>
                <w:spacing w:val="0"/>
                <w:kern w:val="0"/>
                <w:sz w:val="28"/>
                <w:szCs w:val="28"/>
                <w:u w:val="none"/>
                <w:lang w:val="en-US" w:eastAsia="zh-CN"/>
              </w:rPr>
              <w:t>市政府发文号</w:t>
            </w:r>
          </w:p>
        </w:tc>
        <w:tc>
          <w:tcPr>
            <w:tcW w:w="177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宋体" w:cs="宋体"/>
                <w:b w:val="0"/>
                <w:bCs w:val="0"/>
                <w:i w:val="0"/>
                <w:caps w:val="0"/>
                <w:color w:val="auto"/>
                <w:spacing w:val="0"/>
                <w:sz w:val="28"/>
                <w:szCs w:val="28"/>
                <w:u w:val="none"/>
              </w:rPr>
            </w:pPr>
            <w:r>
              <w:rPr>
                <w:rFonts w:hint="eastAsia" w:ascii="Times New Roman" w:hAnsi="Times New Roman" w:eastAsia="宋体" w:cs="宋体"/>
                <w:b w:val="0"/>
                <w:bCs w:val="0"/>
                <w:i w:val="0"/>
                <w:caps w:val="0"/>
                <w:color w:val="auto"/>
                <w:spacing w:val="0"/>
                <w:kern w:val="0"/>
                <w:sz w:val="28"/>
                <w:szCs w:val="28"/>
                <w:u w:val="none"/>
                <w:lang w:val="en-US" w:eastAsia="zh-CN"/>
              </w:rPr>
              <w:t>市政府报备号</w:t>
            </w:r>
          </w:p>
        </w:tc>
        <w:tc>
          <w:tcPr>
            <w:tcW w:w="174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宋体" w:cs="宋体"/>
                <w:b w:val="0"/>
                <w:bCs w:val="0"/>
                <w:i w:val="0"/>
                <w:caps w:val="0"/>
                <w:color w:val="auto"/>
                <w:spacing w:val="0"/>
                <w:sz w:val="28"/>
                <w:szCs w:val="28"/>
                <w:u w:val="none"/>
              </w:rPr>
            </w:pPr>
            <w:r>
              <w:rPr>
                <w:rFonts w:hint="eastAsia" w:ascii="Times New Roman" w:hAnsi="Times New Roman" w:eastAsia="宋体" w:cs="宋体"/>
                <w:b w:val="0"/>
                <w:bCs w:val="0"/>
                <w:i w:val="0"/>
                <w:caps w:val="0"/>
                <w:color w:val="auto"/>
                <w:spacing w:val="0"/>
                <w:kern w:val="0"/>
                <w:sz w:val="28"/>
                <w:szCs w:val="28"/>
                <w:u w:val="none"/>
                <w:lang w:val="en-US" w:eastAsia="zh-CN"/>
              </w:rPr>
              <w:t>市人大常委会备案号</w:t>
            </w: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1</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2019/1/2</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关于印发三亚市农村宅基地管理办法的通知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市国土局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三府〔2018〕272号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三府规备字〔2018〕37号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4"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2</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2019/1/11</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关于印发三亚市旅游、文化、体育大型活动管理暂行办法的通知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市文体局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三府〔2019〕2号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三府规备字〔2019〕1号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3</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2019/1/22</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关于印发三亚市法律援助实施办法的通知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市司法局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三府〔2019〕13号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三府规备字〔2019〕2号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三常规备回〔2020〕27号</w:t>
            </w: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4</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2019/1/24</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关于打击非法道路客运经营行为的通告</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市交通局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三府〔2019〕10号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三府规备字〔2019〕3号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5</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2019/1/24</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关于印发三亚市海上巴士成本与收入规制实施办法的通知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市交通局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三府〔2019〕11号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三府规备字〔2019〕4号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5"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6</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2019/1/25</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关于印发三亚市消费投诉信息公示办法的通知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市工商局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三府〔2019〕19号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三府规备字〔2019〕5号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7</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2019/1/31</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关于印发三亚市公安机关警务辅助人员管理办法（试行）的通知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市公安局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三府〔2019〕23号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三府规备字〔2019〕6号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8</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2019/3/27</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关于印发警卫任务专项工作补助管理办法（试行）的通知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市公安局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三府〔2019〕75号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三府规备字〔2019〕7号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5"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9</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2019/4/3</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关于加强烧纸焚香祭祀管理的通告</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市执法局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三府〔2019〕91号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三府规备字〔2019〕8号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10</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2019/5/17</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关于印发推进旅游行业协会深化改革和发展的指导意见的通知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市旅文局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三府〔2019〕126号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三府规备字〔2019〕9号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三常规备回〔2020〕20号</w:t>
            </w: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11</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2019/5/31</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关于印发三亚市行政管理信用承诺工作指导意见的通知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市发改委</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三府〔2019〕141号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三府规备字〔2019〕10号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三常规备回〔2020〕19号</w:t>
            </w: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12</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2019/6/6</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关于印发《三亚市法人和自然人信用修复管理办法（试行）》的通知 </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市发改委</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三府〔2019〕150号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三府规备字〔2019〕12号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13</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2019/6/6</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关于印发三亚市建账监督管理办法的通知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市财政局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三府〔2019〕148号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三府规备字〔2019〕11号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7"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14</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2019/6/24</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关于印发三亚市海智计划工作站建设管理办法（试行）的通知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市科协</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三府规〔2019〕1号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br w:type="textWrapping"/>
            </w:r>
            <w:r>
              <w:rPr>
                <w:rFonts w:hint="eastAsia" w:ascii="Times New Roman" w:hAnsi="Times New Roman" w:eastAsia="仿宋" w:cs="仿宋"/>
                <w:i w:val="0"/>
                <w:caps w:val="0"/>
                <w:color w:val="auto"/>
                <w:spacing w:val="0"/>
                <w:kern w:val="0"/>
                <w:sz w:val="24"/>
                <w:szCs w:val="24"/>
                <w:u w:val="none"/>
                <w:lang w:val="en-US" w:eastAsia="zh-CN"/>
              </w:rPr>
              <w:t>三府规备字〔2019〕13号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15</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2019/6/24</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关于印发三亚市高端学术活动资助办法（试行）的通知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市科协</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三府规〔2019〕2号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三府规备字〔2019〕14号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16</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2019/7/9</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关于印发三亚市旅游产业发展专项资金管理暂行办法的通知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市旅文局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三府规〔2019〕3号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三府规备字〔2019〕15号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17</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2019/7/20</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关于印发三亚市院士专项经费管理办法通知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科工信局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三府规〔2019〕4号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三府规备字〔2019〕16号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18</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2019/8/14</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关于修改《三亚市人民政府关于印发三亚市海上搜救应急预案的通知》等106件行政规范性文件的决定</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市司法局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三府规〔2019〕5号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三府规备字〔2019〕17号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三常规备回〔2020〕12号</w:t>
            </w: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19</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2019/8/14</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关于废止《三亚市人民政府办公室关于印发三亚市摩托艇驾驶员培训、考试和发证管理办法（试行）的通知》等66件行政规范性文件的决定</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市司法局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三府规〔2019〕6号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三府规备字〔2019〕18号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三常规备回〔2020〕11号</w:t>
            </w: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20</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2019/8/14</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关于公布《三亚市本级部门项目支出进度考核管理暂行办法》等138件继续有效的（含限一年内修改或重新制定70件）行政规范性文件的决定</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市司法局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三府规〔2019〕7号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三府规备字〔2019〕19号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三常规备回〔2020〕10号</w:t>
            </w: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21</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2019/8/30</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关于印发三亚市财政性奖补资金支出管理暂行规定的通知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市财政局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三府规〔2019〕8号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三府规备字〔2019〕20号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三常规备回〔2020〕9号</w:t>
            </w: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5"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22</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2019/9/29</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关于印发三亚市特困人员救助供养工作实施办法的通知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市民政局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三府规〔2019〕9号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三府规备字〔2019〕21号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三常规备回〔2020〕8号</w:t>
            </w: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2"/>
                <w:szCs w:val="22"/>
                <w:u w:val="none"/>
              </w:rPr>
            </w:pPr>
            <w:r>
              <w:rPr>
                <w:rFonts w:hint="eastAsia" w:ascii="Times New Roman" w:hAnsi="Times New Roman" w:eastAsia="仿宋" w:cs="仿宋"/>
                <w:i w:val="0"/>
                <w:caps w:val="0"/>
                <w:color w:val="auto"/>
                <w:spacing w:val="0"/>
                <w:kern w:val="0"/>
                <w:sz w:val="22"/>
                <w:szCs w:val="22"/>
                <w:u w:val="none"/>
                <w:lang w:val="en-US" w:eastAsia="zh-CN"/>
              </w:rPr>
              <w:t>23</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2019/9/29</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关于印发三亚市最低生活保障工作实施办法的通知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市民政局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三府规〔2019〕10号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三府规备字〔2019〕22号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三常规备回〔2020〕7号</w:t>
            </w: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24</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2019/10/15</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关于印发三亚市促进旅游营销奖励办法的通知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市旅文局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三府规〔2019〕11号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三府规备字〔2019〕23号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5"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25</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2019/10/11</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关于海南西环既有铁路线路安全保护区三亚段有关事项的通告</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市发改委</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三府规〔2019〕12号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三府规备字〔2019〕24号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4"/>
                <w:szCs w:val="24"/>
                <w:u w:val="none"/>
              </w:rPr>
            </w:pP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5"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26</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2019/12/5</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关于印发三亚市高标准高质量推进金融业发展扶持奖励暂行办法的通知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市金融</w:t>
            </w:r>
            <w:r>
              <w:rPr>
                <w:rFonts w:hint="eastAsia" w:ascii="Times New Roman" w:hAnsi="Times New Roman" w:eastAsia="仿宋" w:cs="仿宋"/>
                <w:i w:val="0"/>
                <w:caps w:val="0"/>
                <w:color w:val="auto"/>
                <w:spacing w:val="0"/>
                <w:kern w:val="0"/>
                <w:sz w:val="24"/>
                <w:szCs w:val="24"/>
                <w:u w:val="none"/>
                <w:lang w:val="en-US" w:eastAsia="zh-CN"/>
              </w:rPr>
              <w:br w:type="textWrapping"/>
            </w:r>
            <w:r>
              <w:rPr>
                <w:rFonts w:hint="eastAsia" w:ascii="Times New Roman" w:hAnsi="Times New Roman" w:eastAsia="仿宋" w:cs="仿宋"/>
                <w:i w:val="0"/>
                <w:caps w:val="0"/>
                <w:color w:val="auto"/>
                <w:spacing w:val="0"/>
                <w:kern w:val="0"/>
                <w:sz w:val="24"/>
                <w:szCs w:val="24"/>
                <w:u w:val="none"/>
                <w:lang w:val="en-US" w:eastAsia="zh-CN"/>
              </w:rPr>
              <w:t>发展局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三府规〔2019〕13号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三府规备字〔2019〕25号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三常规备回〔2020〕4号</w:t>
            </w: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5"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27</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2019/12/10</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关于印发《三亚市行政审批管理及责任追究办法》的通知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市政务</w:t>
            </w:r>
            <w:r>
              <w:rPr>
                <w:rFonts w:hint="eastAsia" w:ascii="Times New Roman" w:hAnsi="Times New Roman" w:eastAsia="仿宋" w:cs="仿宋"/>
                <w:i w:val="0"/>
                <w:caps w:val="0"/>
                <w:color w:val="auto"/>
                <w:spacing w:val="0"/>
                <w:kern w:val="0"/>
                <w:sz w:val="24"/>
                <w:szCs w:val="24"/>
                <w:u w:val="none"/>
                <w:lang w:val="en-US" w:eastAsia="zh-CN"/>
              </w:rPr>
              <w:br w:type="textWrapping"/>
            </w:r>
            <w:r>
              <w:rPr>
                <w:rFonts w:hint="eastAsia" w:ascii="Times New Roman" w:hAnsi="Times New Roman" w:eastAsia="仿宋" w:cs="仿宋"/>
                <w:i w:val="0"/>
                <w:caps w:val="0"/>
                <w:color w:val="auto"/>
                <w:spacing w:val="0"/>
                <w:kern w:val="0"/>
                <w:sz w:val="24"/>
                <w:szCs w:val="24"/>
                <w:u w:val="none"/>
                <w:lang w:val="en-US" w:eastAsia="zh-CN"/>
              </w:rPr>
              <w:t>服务中心</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三府规〔2019〕14号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三府规备字〔2019〕26号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三常规备回〔2020〕3号</w:t>
            </w: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28</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2019/12/12</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关于印发《三亚市村庄规划建设管理办法》（试行）的通知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市资规局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三府规〔2019〕15号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三府规备字〔2019〕27号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三常规备回〔2020〕2号</w:t>
            </w:r>
          </w:p>
        </w:tc>
        <w:tc>
          <w:tcPr>
            <w:tcW w:w="22352" w:type="dxa"/>
            <w:tcBorders>
              <w:top w:val="nil"/>
              <w:left w:val="nil"/>
              <w:bottom w:val="nil"/>
              <w:right w:val="nil"/>
            </w:tcBorders>
            <w:tcMar>
              <w:top w:w="15" w:type="dxa"/>
              <w:left w:w="15" w:type="dxa"/>
              <w:right w:w="15" w:type="dxa"/>
            </w:tcMar>
            <w:vAlign w:val="center"/>
          </w:tcPr>
          <w:p>
            <w:pPr>
              <w:jc w:val="center"/>
              <w:rPr>
                <w:rFonts w:hint="eastAsia" w:ascii="Times New Roman" w:hAnsi="Times New Roman" w:eastAsia="仿宋" w:cs="仿宋"/>
                <w:i w:val="0"/>
                <w:caps w:val="0"/>
                <w:color w:val="auto"/>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0" w:hRule="atLeast"/>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29</w:t>
            </w:r>
          </w:p>
        </w:tc>
        <w:tc>
          <w:tcPr>
            <w:tcW w:w="13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2019/12/31</w:t>
            </w:r>
          </w:p>
        </w:tc>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left"/>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关于印发三亚市鼓励拓展境外航线财政补贴实施办法的通知</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市交通局</w:t>
            </w:r>
          </w:p>
        </w:tc>
        <w:tc>
          <w:tcPr>
            <w:tcW w:w="12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三府规〔2019〕16号</w:t>
            </w: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三府规备字〔2019〕28号</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0" w:firstLine="0"/>
              <w:jc w:val="center"/>
              <w:textAlignment w:val="center"/>
              <w:rPr>
                <w:rFonts w:hint="eastAsia" w:ascii="Times New Roman" w:hAnsi="Times New Roman" w:eastAsia="仿宋" w:cs="仿宋"/>
                <w:i w:val="0"/>
                <w:caps w:val="0"/>
                <w:color w:val="auto"/>
                <w:spacing w:val="0"/>
                <w:sz w:val="24"/>
                <w:szCs w:val="24"/>
                <w:u w:val="none"/>
              </w:rPr>
            </w:pPr>
            <w:r>
              <w:rPr>
                <w:rFonts w:hint="eastAsia" w:ascii="Times New Roman" w:hAnsi="Times New Roman" w:eastAsia="仿宋" w:cs="仿宋"/>
                <w:i w:val="0"/>
                <w:caps w:val="0"/>
                <w:color w:val="auto"/>
                <w:spacing w:val="0"/>
                <w:kern w:val="0"/>
                <w:sz w:val="24"/>
                <w:szCs w:val="24"/>
                <w:u w:val="none"/>
                <w:lang w:val="en-US" w:eastAsia="zh-CN"/>
              </w:rPr>
              <w:t>三常规备回〔2020〕1号</w:t>
            </w:r>
          </w:p>
        </w:tc>
        <w:tc>
          <w:tcPr>
            <w:tcW w:w="22352" w:type="dxa"/>
            <w:vAlign w:val="center"/>
          </w:tcPr>
          <w:p>
            <w:pPr>
              <w:jc w:val="center"/>
              <w:rPr>
                <w:rFonts w:hint="eastAsia" w:ascii="Times New Roman" w:hAnsi="Times New Roman" w:eastAsia="仿宋" w:cs="仿宋"/>
                <w:caps w:val="0"/>
                <w:spacing w:val="0"/>
                <w:sz w:val="22"/>
                <w:szCs w:val="22"/>
              </w:rPr>
            </w:pPr>
          </w:p>
        </w:tc>
      </w:tr>
    </w:tbl>
    <w:p>
      <w:pPr>
        <w:jc w:val="left"/>
        <w:rPr>
          <w:rFonts w:hint="eastAsia" w:ascii="Times New Roman" w:hAnsi="Times New Roman" w:eastAsia="仿宋" w:cs="仿宋"/>
          <w:sz w:val="32"/>
          <w:szCs w:val="32"/>
          <w:lang w:val="en-US" w:eastAsia="zh-CN"/>
        </w:rPr>
      </w:pPr>
    </w:p>
    <w:p>
      <w:pPr>
        <w:jc w:val="left"/>
        <w:rPr>
          <w:rFonts w:hint="eastAsia" w:ascii="Times New Roman" w:hAnsi="Times New Roman" w:eastAsia="仿宋" w:cs="仿宋"/>
          <w:sz w:val="32"/>
          <w:szCs w:val="32"/>
          <w:lang w:val="en-US" w:eastAsia="zh-CN"/>
        </w:rPr>
      </w:pPr>
    </w:p>
    <w:p>
      <w:pPr>
        <w:jc w:val="left"/>
        <w:rPr>
          <w:rFonts w:hint="eastAsia" w:ascii="Times New Roman" w:hAnsi="Times New Roman" w:eastAsia="仿宋" w:cs="仿宋"/>
          <w:sz w:val="32"/>
          <w:szCs w:val="32"/>
          <w:lang w:val="en-US" w:eastAsia="zh-CN"/>
        </w:rPr>
      </w:pPr>
    </w:p>
    <w:p>
      <w:pPr>
        <w:jc w:val="left"/>
        <w:rPr>
          <w:rFonts w:hint="eastAsia" w:ascii="Times New Roman" w:hAnsi="Times New Roman" w:eastAsia="仿宋" w:cs="仿宋"/>
          <w:sz w:val="32"/>
          <w:szCs w:val="32"/>
          <w:lang w:val="en-US" w:eastAsia="zh-CN"/>
        </w:rPr>
      </w:pPr>
    </w:p>
    <w:p>
      <w:pPr>
        <w:jc w:val="left"/>
        <w:rPr>
          <w:rFonts w:hint="eastAsia" w:ascii="Times New Roman" w:hAnsi="Times New Roman" w:eastAsia="仿宋" w:cs="仿宋"/>
          <w:sz w:val="32"/>
          <w:szCs w:val="32"/>
          <w:lang w:val="en-US" w:eastAsia="zh-CN"/>
        </w:rPr>
      </w:pPr>
    </w:p>
    <w:p>
      <w:pPr>
        <w:jc w:val="left"/>
        <w:rPr>
          <w:rFonts w:hint="eastAsia" w:ascii="Times New Roman" w:hAnsi="Times New Roman" w:eastAsia="仿宋" w:cs="仿宋"/>
          <w:sz w:val="32"/>
          <w:szCs w:val="32"/>
          <w:lang w:val="en-US" w:eastAsia="zh-CN"/>
        </w:rPr>
      </w:pPr>
    </w:p>
    <w:p>
      <w:pPr>
        <w:jc w:val="left"/>
        <w:rPr>
          <w:rFonts w:hint="eastAsia" w:ascii="Times New Roman" w:hAnsi="Times New Roman" w:eastAsia="仿宋" w:cs="仿宋"/>
          <w:sz w:val="32"/>
          <w:szCs w:val="32"/>
          <w:lang w:val="en-US" w:eastAsia="zh-CN"/>
        </w:rPr>
      </w:pPr>
    </w:p>
    <w:p>
      <w:pPr>
        <w:jc w:val="left"/>
        <w:rPr>
          <w:rFonts w:hint="eastAsia" w:ascii="Times New Roman" w:hAnsi="Times New Roman" w:eastAsia="仿宋" w:cs="仿宋"/>
          <w:sz w:val="32"/>
          <w:szCs w:val="32"/>
          <w:lang w:val="en-US" w:eastAsia="zh-CN"/>
        </w:rPr>
      </w:pPr>
    </w:p>
    <w:p>
      <w:pPr>
        <w:jc w:val="left"/>
        <w:rPr>
          <w:rFonts w:hint="eastAsia" w:ascii="Times New Roman" w:hAnsi="Times New Roman" w:eastAsia="仿宋" w:cs="仿宋"/>
          <w:sz w:val="32"/>
          <w:szCs w:val="32"/>
          <w:lang w:val="en-US" w:eastAsia="zh-CN"/>
        </w:rPr>
      </w:pPr>
    </w:p>
    <w:p>
      <w:pPr>
        <w:jc w:val="left"/>
        <w:rPr>
          <w:rFonts w:hint="eastAsia" w:ascii="Times New Roman" w:hAnsi="Times New Roman" w:eastAsia="仿宋" w:cs="仿宋"/>
          <w:sz w:val="32"/>
          <w:szCs w:val="32"/>
          <w:lang w:val="en-US" w:eastAsia="zh-CN"/>
        </w:rPr>
      </w:pPr>
    </w:p>
    <w:p>
      <w:pPr>
        <w:jc w:val="lef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附件2</w:t>
      </w:r>
    </w:p>
    <w:tbl>
      <w:tblPr>
        <w:tblStyle w:val="6"/>
        <w:tblW w:w="11055" w:type="dxa"/>
        <w:tblInd w:w="-1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3375"/>
        <w:gridCol w:w="1200"/>
        <w:gridCol w:w="273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55" w:type="dxa"/>
            <w:gridSpan w:val="5"/>
            <w:vAlign w:val="center"/>
          </w:tcPr>
          <w:p>
            <w:pPr>
              <w:jc w:val="center"/>
              <w:rPr>
                <w:rFonts w:hint="eastAsia" w:ascii="Times New Roman" w:hAnsi="Times New Roman" w:eastAsia="等线" w:cs="等线"/>
                <w:b w:val="0"/>
                <w:bCs w:val="0"/>
                <w:sz w:val="22"/>
                <w:szCs w:val="28"/>
                <w:lang w:eastAsia="zh-CN"/>
              </w:rPr>
            </w:pPr>
            <w:r>
              <w:rPr>
                <w:rFonts w:hint="eastAsia" w:ascii="Times New Roman" w:hAnsi="Times New Roman" w:eastAsia="等线" w:cs="等线"/>
                <w:b/>
                <w:bCs/>
                <w:sz w:val="44"/>
                <w:szCs w:val="44"/>
                <w:lang w:val="en-US" w:eastAsia="zh-CN"/>
              </w:rPr>
              <w:t>2019</w:t>
            </w:r>
            <w:r>
              <w:rPr>
                <w:rFonts w:hint="eastAsia" w:ascii="Times New Roman" w:hAnsi="Times New Roman" w:cs="等线"/>
                <w:b/>
                <w:bCs/>
                <w:sz w:val="44"/>
                <w:szCs w:val="44"/>
                <w:lang w:val="en-US" w:eastAsia="zh-CN"/>
              </w:rPr>
              <w:t>年市政府</w:t>
            </w:r>
            <w:r>
              <w:rPr>
                <w:rFonts w:hint="eastAsia" w:ascii="Times New Roman" w:hAnsi="Times New Roman" w:eastAsia="等线" w:cs="等线"/>
                <w:b/>
                <w:bCs/>
                <w:sz w:val="44"/>
                <w:szCs w:val="44"/>
                <w:lang w:val="en-US" w:eastAsia="zh-CN"/>
              </w:rPr>
              <w:t>规范性文件</w:t>
            </w:r>
            <w:r>
              <w:rPr>
                <w:rFonts w:hint="eastAsia" w:ascii="Times New Roman" w:hAnsi="Times New Roman" w:cs="等线"/>
                <w:b/>
                <w:bCs/>
                <w:sz w:val="44"/>
                <w:szCs w:val="44"/>
                <w:lang w:val="en-US" w:eastAsia="zh-CN"/>
              </w:rPr>
              <w:t>审查意见</w:t>
            </w:r>
            <w:r>
              <w:rPr>
                <w:rFonts w:hint="eastAsia" w:ascii="Times New Roman" w:hAnsi="Times New Roman" w:eastAsia="等线" w:cs="等线"/>
                <w:b/>
                <w:bCs/>
                <w:sz w:val="44"/>
                <w:szCs w:val="44"/>
                <w:lang w:val="en-US"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center"/>
          </w:tcPr>
          <w:p>
            <w:pPr>
              <w:jc w:val="center"/>
              <w:rPr>
                <w:rFonts w:hint="eastAsia" w:ascii="Times New Roman" w:hAnsi="Times New Roman" w:eastAsia="宋体" w:cs="宋体"/>
                <w:b w:val="0"/>
                <w:bCs w:val="0"/>
                <w:sz w:val="22"/>
                <w:szCs w:val="28"/>
                <w:lang w:eastAsia="zh-CN"/>
              </w:rPr>
            </w:pPr>
            <w:r>
              <w:rPr>
                <w:rFonts w:hint="eastAsia" w:ascii="Times New Roman" w:hAnsi="Times New Roman" w:eastAsia="宋体" w:cs="宋体"/>
                <w:b w:val="0"/>
                <w:bCs w:val="0"/>
                <w:sz w:val="22"/>
                <w:szCs w:val="28"/>
                <w:lang w:eastAsia="zh-CN"/>
              </w:rPr>
              <w:t>规范性文件</w:t>
            </w:r>
          </w:p>
          <w:p>
            <w:pPr>
              <w:jc w:val="center"/>
              <w:rPr>
                <w:rFonts w:hint="eastAsia" w:ascii="Times New Roman" w:hAnsi="Times New Roman" w:eastAsia="宋体" w:cs="宋体"/>
                <w:b/>
                <w:bCs/>
                <w:sz w:val="44"/>
                <w:szCs w:val="44"/>
                <w:lang w:val="en-US" w:eastAsia="zh-CN"/>
              </w:rPr>
            </w:pPr>
            <w:r>
              <w:rPr>
                <w:rFonts w:hint="eastAsia" w:ascii="Times New Roman" w:hAnsi="Times New Roman" w:eastAsia="宋体" w:cs="宋体"/>
                <w:b w:val="0"/>
                <w:bCs w:val="0"/>
                <w:sz w:val="22"/>
                <w:szCs w:val="28"/>
                <w:lang w:eastAsia="zh-CN"/>
              </w:rPr>
              <w:t>名称</w:t>
            </w:r>
          </w:p>
        </w:tc>
        <w:tc>
          <w:tcPr>
            <w:tcW w:w="3375" w:type="dxa"/>
            <w:vAlign w:val="center"/>
          </w:tcPr>
          <w:p>
            <w:pPr>
              <w:jc w:val="center"/>
              <w:rPr>
                <w:rFonts w:hint="eastAsia" w:ascii="Times New Roman" w:hAnsi="Times New Roman" w:eastAsia="宋体" w:cs="宋体"/>
                <w:b/>
                <w:bCs/>
                <w:sz w:val="44"/>
                <w:szCs w:val="44"/>
                <w:lang w:val="en-US" w:eastAsia="zh-CN"/>
              </w:rPr>
            </w:pPr>
            <w:r>
              <w:rPr>
                <w:rFonts w:hint="eastAsia" w:ascii="Times New Roman" w:hAnsi="Times New Roman" w:eastAsia="宋体" w:cs="宋体"/>
                <w:b w:val="0"/>
                <w:bCs w:val="0"/>
                <w:sz w:val="22"/>
                <w:szCs w:val="28"/>
                <w:lang w:eastAsia="zh-CN"/>
              </w:rPr>
              <w:t>存在问题条款</w:t>
            </w:r>
          </w:p>
        </w:tc>
        <w:tc>
          <w:tcPr>
            <w:tcW w:w="1200" w:type="dxa"/>
            <w:vAlign w:val="center"/>
          </w:tcPr>
          <w:p>
            <w:pPr>
              <w:jc w:val="center"/>
              <w:rPr>
                <w:rFonts w:hint="eastAsia" w:ascii="Times New Roman" w:hAnsi="Times New Roman" w:eastAsia="宋体" w:cs="宋体"/>
                <w:b w:val="0"/>
                <w:bCs w:val="0"/>
                <w:sz w:val="22"/>
                <w:szCs w:val="28"/>
                <w:lang w:eastAsia="zh-CN"/>
              </w:rPr>
            </w:pPr>
            <w:r>
              <w:rPr>
                <w:rFonts w:hint="eastAsia" w:ascii="Times New Roman" w:hAnsi="Times New Roman" w:eastAsia="宋体" w:cs="宋体"/>
                <w:b w:val="0"/>
                <w:bCs w:val="0"/>
                <w:sz w:val="22"/>
                <w:szCs w:val="28"/>
                <w:lang w:eastAsia="zh-CN"/>
              </w:rPr>
              <w:t>存在问题</w:t>
            </w:r>
          </w:p>
          <w:p>
            <w:pPr>
              <w:jc w:val="center"/>
              <w:rPr>
                <w:rFonts w:hint="eastAsia" w:ascii="Times New Roman" w:hAnsi="Times New Roman" w:eastAsia="宋体" w:cs="宋体"/>
                <w:b/>
                <w:bCs/>
                <w:sz w:val="44"/>
                <w:szCs w:val="44"/>
                <w:lang w:val="en-US" w:eastAsia="zh-CN"/>
              </w:rPr>
            </w:pPr>
            <w:r>
              <w:rPr>
                <w:rFonts w:hint="eastAsia" w:ascii="Times New Roman" w:hAnsi="Times New Roman" w:eastAsia="宋体" w:cs="宋体"/>
                <w:b w:val="0"/>
                <w:bCs w:val="0"/>
                <w:sz w:val="22"/>
                <w:szCs w:val="28"/>
                <w:lang w:eastAsia="zh-CN"/>
              </w:rPr>
              <w:t>类型</w:t>
            </w:r>
          </w:p>
        </w:tc>
        <w:tc>
          <w:tcPr>
            <w:tcW w:w="2730" w:type="dxa"/>
            <w:vAlign w:val="center"/>
          </w:tcPr>
          <w:p>
            <w:pPr>
              <w:jc w:val="center"/>
              <w:rPr>
                <w:rFonts w:hint="eastAsia" w:ascii="Times New Roman" w:hAnsi="Times New Roman" w:eastAsia="宋体" w:cs="宋体"/>
                <w:b/>
                <w:bCs/>
                <w:sz w:val="44"/>
                <w:szCs w:val="44"/>
                <w:lang w:val="en-US" w:eastAsia="zh-CN"/>
              </w:rPr>
            </w:pPr>
            <w:r>
              <w:rPr>
                <w:rFonts w:hint="eastAsia" w:ascii="Times New Roman" w:hAnsi="Times New Roman" w:eastAsia="宋体" w:cs="宋体"/>
                <w:b w:val="0"/>
                <w:bCs w:val="0"/>
                <w:sz w:val="22"/>
                <w:szCs w:val="28"/>
                <w:lang w:eastAsia="zh-CN"/>
              </w:rPr>
              <w:t>法律依据及理由</w:t>
            </w:r>
          </w:p>
        </w:tc>
        <w:tc>
          <w:tcPr>
            <w:tcW w:w="1785" w:type="dxa"/>
            <w:vAlign w:val="center"/>
          </w:tcPr>
          <w:p>
            <w:pPr>
              <w:jc w:val="center"/>
              <w:rPr>
                <w:rFonts w:hint="eastAsia" w:ascii="Times New Roman" w:hAnsi="Times New Roman" w:eastAsia="宋体" w:cs="宋体"/>
                <w:b/>
                <w:bCs/>
                <w:sz w:val="44"/>
                <w:szCs w:val="44"/>
                <w:lang w:val="en-US" w:eastAsia="zh-CN"/>
              </w:rPr>
            </w:pPr>
            <w:r>
              <w:rPr>
                <w:rFonts w:hint="eastAsia" w:ascii="Times New Roman" w:hAnsi="Times New Roman" w:eastAsia="宋体" w:cs="宋体"/>
                <w:b w:val="0"/>
                <w:bCs w:val="0"/>
                <w:sz w:val="22"/>
                <w:szCs w:val="28"/>
                <w:lang w:eastAsia="zh-CN"/>
              </w:rPr>
              <w:t>处理建议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5" w:hRule="atLeast"/>
        </w:trPr>
        <w:tc>
          <w:tcPr>
            <w:tcW w:w="1965" w:type="dxa"/>
            <w:vMerge w:val="restart"/>
            <w:vAlign w:val="center"/>
          </w:tcPr>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黑体" w:cs="黑体"/>
                <w:sz w:val="24"/>
                <w:szCs w:val="24"/>
                <w:lang w:val="en-US" w:eastAsia="zh-CN"/>
              </w:rPr>
              <w:t>三府〔2019〕2号《三亚市旅游、文化、体育大型活动管理暂行办法》</w:t>
            </w:r>
          </w:p>
        </w:tc>
        <w:tc>
          <w:tcPr>
            <w:tcW w:w="3375" w:type="dxa"/>
            <w:vAlign w:val="center"/>
          </w:tcPr>
          <w:p>
            <w:pPr>
              <w:widowControl/>
              <w:numPr>
                <w:ilvl w:val="0"/>
                <w:numId w:val="1"/>
              </w:numPr>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b/>
                <w:bCs/>
                <w:i w:val="0"/>
                <w:color w:val="000000"/>
                <w:kern w:val="0"/>
                <w:sz w:val="22"/>
                <w:szCs w:val="22"/>
                <w:u w:val="none"/>
                <w:lang w:val="en-US" w:eastAsia="zh-CN"/>
              </w:rPr>
              <w:t>第二条</w:t>
            </w:r>
            <w:r>
              <w:rPr>
                <w:rFonts w:hint="eastAsia" w:ascii="Times New Roman" w:hAnsi="Times New Roman" w:eastAsia="仿宋" w:cs="仿宋"/>
                <w:i w:val="0"/>
                <w:color w:val="000000"/>
                <w:kern w:val="0"/>
                <w:sz w:val="22"/>
                <w:szCs w:val="22"/>
                <w:u w:val="none"/>
                <w:lang w:val="en-US" w:eastAsia="zh-CN"/>
              </w:rPr>
              <w:t>：“…在可形成产业规模和具有发展潜力的旅游文化体育大型活动给予大力扶持和培育。确实促使各项旅游、文化、体育大型活动在三亚城市旅游营销，提升城市美誉度，促进三亚国际化滨海旅游精品城市建设和拉动三亚旅游体育消费等方面起到积极的推动作用。”</w:t>
            </w:r>
          </w:p>
          <w:p>
            <w:pPr>
              <w:widowControl/>
              <w:numPr>
                <w:ilvl w:val="0"/>
                <w:numId w:val="0"/>
              </w:numPr>
              <w:jc w:val="left"/>
              <w:textAlignment w:val="center"/>
              <w:rPr>
                <w:rFonts w:hint="default"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default"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default"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default" w:ascii="Times New Roman" w:hAnsi="Times New Roman" w:eastAsia="仿宋" w:cs="仿宋"/>
                <w:i w:val="0"/>
                <w:color w:val="000000"/>
                <w:kern w:val="0"/>
                <w:sz w:val="22"/>
                <w:szCs w:val="22"/>
                <w:u w:val="none"/>
                <w:lang w:val="en-US" w:eastAsia="zh-CN"/>
              </w:rPr>
            </w:pPr>
          </w:p>
          <w:p>
            <w:pPr>
              <w:widowControl/>
              <w:numPr>
                <w:ilvl w:val="0"/>
                <w:numId w:val="0"/>
              </w:numPr>
              <w:ind w:left="0" w:leftChars="0" w:firstLine="0" w:firstLineChars="0"/>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1200" w:type="dxa"/>
            <w:vAlign w:val="center"/>
          </w:tcPr>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条文表述不规范</w:t>
            </w:r>
          </w:p>
        </w:tc>
        <w:tc>
          <w:tcPr>
            <w:tcW w:w="2730" w:type="dxa"/>
            <w:vAlign w:val="top"/>
          </w:tcPr>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1.本条中“在”无法与“给予大力扶持和培育”相匹配。</w:t>
            </w:r>
          </w:p>
          <w:p>
            <w:pPr>
              <w:widowControl/>
              <w:numPr>
                <w:ilvl w:val="0"/>
                <w:numId w:val="0"/>
              </w:numPr>
              <w:ind w:left="0" w:leftChars="0" w:firstLine="0" w:firstLineChars="0"/>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2.“确实促使各项旅游…起到积极的推动作用”是对本条前述内容所取得成果的表述，与前述内容紧密衔接，做法与成果间不应用句号。</w:t>
            </w:r>
          </w:p>
        </w:tc>
        <w:tc>
          <w:tcPr>
            <w:tcW w:w="1785"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建议将本条表述改为：“…对可形成产业规模和具有发展潜力的旅游文化体育大型活动给予大力扶持和培育，确实促使各项旅游、文化、体育大型活动在三亚城市…”（省略部分自行补充完整）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jc w:val="both"/>
              <w:textAlignment w:val="center"/>
              <w:rPr>
                <w:rFonts w:hint="eastAsia" w:ascii="Times New Roman" w:hAnsi="Times New Roman" w:eastAsia="仿宋" w:cs="仿宋"/>
                <w:i w:val="0"/>
                <w:color w:val="000000"/>
                <w:kern w:val="0"/>
                <w:sz w:val="22"/>
                <w:szCs w:val="22"/>
                <w:u w:val="none"/>
                <w:lang w:val="en-US" w:eastAsia="zh-CN"/>
              </w:rPr>
            </w:pPr>
          </w:p>
          <w:p>
            <w:pPr>
              <w:widowControl/>
              <w:jc w:val="both"/>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2.</w:t>
            </w:r>
            <w:r>
              <w:rPr>
                <w:rFonts w:hint="eastAsia" w:ascii="Times New Roman" w:hAnsi="Times New Roman" w:eastAsia="仿宋" w:cs="仿宋"/>
                <w:b/>
                <w:bCs/>
                <w:i w:val="0"/>
                <w:color w:val="000000"/>
                <w:kern w:val="0"/>
                <w:sz w:val="22"/>
                <w:szCs w:val="22"/>
                <w:u w:val="none"/>
                <w:lang w:val="en-US" w:eastAsia="zh-CN"/>
              </w:rPr>
              <w:t>第十七条</w:t>
            </w:r>
            <w:r>
              <w:rPr>
                <w:rFonts w:hint="eastAsia" w:ascii="Times New Roman" w:hAnsi="Times New Roman" w:eastAsia="仿宋" w:cs="仿宋"/>
                <w:b w:val="0"/>
                <w:bCs w:val="0"/>
                <w:i w:val="0"/>
                <w:color w:val="000000"/>
                <w:kern w:val="0"/>
                <w:sz w:val="22"/>
                <w:szCs w:val="22"/>
                <w:u w:val="none"/>
                <w:lang w:val="en-US" w:eastAsia="zh-CN"/>
              </w:rPr>
              <w:t>：“…国务院部门直接举报的大型活动，应依法向公安部门申请办理安全许可手续。”</w:t>
            </w:r>
          </w:p>
        </w:tc>
        <w:tc>
          <w:tcPr>
            <w:tcW w:w="1200" w:type="dxa"/>
            <w:vAlign w:val="center"/>
          </w:tcPr>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条文中出现错别字</w:t>
            </w:r>
          </w:p>
        </w:tc>
        <w:tc>
          <w:tcPr>
            <w:tcW w:w="2730"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本条中“举报”与后文内容无法衔接。</w:t>
            </w:r>
          </w:p>
        </w:tc>
        <w:tc>
          <w:tcPr>
            <w:tcW w:w="1785"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建议将本条改为：“…国务院部门直接举办的大型活动…”（省略部分自行补充完整）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numPr>
                <w:ilvl w:val="0"/>
                <w:numId w:val="0"/>
              </w:numPr>
              <w:ind w:leftChars="0"/>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b w:val="0"/>
                <w:bCs w:val="0"/>
                <w:i w:val="0"/>
                <w:color w:val="000000"/>
                <w:kern w:val="0"/>
                <w:sz w:val="22"/>
                <w:szCs w:val="22"/>
                <w:u w:val="none"/>
                <w:lang w:val="en-US" w:eastAsia="zh-CN"/>
              </w:rPr>
              <w:t>3.</w:t>
            </w:r>
            <w:r>
              <w:rPr>
                <w:rFonts w:hint="eastAsia" w:ascii="Times New Roman" w:hAnsi="Times New Roman" w:eastAsia="仿宋" w:cs="仿宋"/>
                <w:b/>
                <w:bCs/>
                <w:i w:val="0"/>
                <w:color w:val="000000"/>
                <w:kern w:val="0"/>
                <w:sz w:val="22"/>
                <w:szCs w:val="22"/>
                <w:u w:val="none"/>
                <w:lang w:val="en-US" w:eastAsia="zh-CN"/>
              </w:rPr>
              <w:t>第二十三条</w:t>
            </w:r>
            <w:r>
              <w:rPr>
                <w:rFonts w:hint="eastAsia" w:ascii="Times New Roman" w:hAnsi="Times New Roman" w:eastAsia="仿宋" w:cs="仿宋"/>
                <w:i w:val="0"/>
                <w:color w:val="000000"/>
                <w:kern w:val="0"/>
                <w:sz w:val="22"/>
                <w:szCs w:val="22"/>
                <w:u w:val="none"/>
                <w:lang w:val="en-US" w:eastAsia="zh-CN"/>
              </w:rPr>
              <w:t>：“…发挥属地管理责任，有责任协助做好大型活动的安全和服务保障工作。”</w:t>
            </w:r>
          </w:p>
          <w:p>
            <w:pPr>
              <w:widowControl/>
              <w:numPr>
                <w:ilvl w:val="0"/>
                <w:numId w:val="0"/>
              </w:numPr>
              <w:ind w:left="0" w:leftChars="0" w:firstLine="0" w:firstLineChars="0"/>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1200" w:type="dxa"/>
            <w:vAlign w:val="center"/>
          </w:tcPr>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条文表述不规范</w:t>
            </w:r>
          </w:p>
        </w:tc>
        <w:tc>
          <w:tcPr>
            <w:tcW w:w="2730"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本条中“发挥”一词无法与“责任”进行搭配。且与原文中“有责任”重复。</w:t>
            </w:r>
          </w:p>
        </w:tc>
        <w:tc>
          <w:tcPr>
            <w:tcW w:w="1785" w:type="dxa"/>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建议将本条修改为：“…履行属地管理责任，协助做好大型活动的安全和服务保障工作。”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5.</w:t>
            </w:r>
            <w:r>
              <w:rPr>
                <w:rFonts w:hint="eastAsia" w:ascii="Times New Roman" w:hAnsi="Times New Roman" w:eastAsia="仿宋" w:cs="仿宋"/>
                <w:b/>
                <w:bCs/>
                <w:i w:val="0"/>
                <w:color w:val="000000"/>
                <w:kern w:val="0"/>
                <w:sz w:val="22"/>
                <w:szCs w:val="22"/>
                <w:u w:val="none"/>
                <w:lang w:val="en-US" w:eastAsia="zh-CN"/>
              </w:rPr>
              <w:t>第二十六条</w:t>
            </w:r>
            <w:r>
              <w:rPr>
                <w:rFonts w:hint="eastAsia" w:ascii="Times New Roman" w:hAnsi="Times New Roman" w:eastAsia="仿宋" w:cs="仿宋"/>
                <w:i w:val="0"/>
                <w:color w:val="000000"/>
                <w:kern w:val="0"/>
                <w:sz w:val="22"/>
                <w:szCs w:val="22"/>
                <w:u w:val="none"/>
                <w:lang w:val="en-US" w:eastAsia="zh-CN"/>
              </w:rPr>
              <w:t>：“市委宣传主管部门负责指导、支持、协调大型活动举办主体开展媒体宣传营销。有计划、按时间节点对活动进行推广。”</w:t>
            </w:r>
          </w:p>
        </w:tc>
        <w:tc>
          <w:tcPr>
            <w:tcW w:w="1200" w:type="dxa"/>
            <w:vAlign w:val="center"/>
          </w:tcPr>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条文内容不适当</w:t>
            </w:r>
          </w:p>
        </w:tc>
        <w:tc>
          <w:tcPr>
            <w:tcW w:w="2730" w:type="dxa"/>
            <w:vAlign w:val="center"/>
          </w:tcPr>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1.市政府规范性文件不能对市委相关部门创设义务、责任。</w:t>
            </w:r>
          </w:p>
          <w:p>
            <w:pPr>
              <w:widowControl/>
              <w:numPr>
                <w:ilvl w:val="0"/>
                <w:numId w:val="0"/>
              </w:numPr>
              <w:jc w:val="left"/>
              <w:textAlignment w:val="center"/>
              <w:rPr>
                <w:rFonts w:hint="default"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p>
          <w:p>
            <w:pPr>
              <w:widowControl/>
              <w:numPr>
                <w:ilvl w:val="0"/>
                <w:numId w:val="0"/>
              </w:numPr>
              <w:ind w:left="0" w:leftChars="0" w:firstLine="0" w:firstLineChars="0"/>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1785" w:type="dxa"/>
            <w:vAlign w:val="center"/>
          </w:tcPr>
          <w:p>
            <w:pPr>
              <w:widowControl/>
              <w:jc w:val="both"/>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建议删除本条对市委宣传主管部门创设义务、责任的规定。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b w:val="0"/>
                <w:bCs w:val="0"/>
                <w:i w:val="0"/>
                <w:color w:val="000000"/>
                <w:kern w:val="0"/>
                <w:sz w:val="22"/>
                <w:szCs w:val="22"/>
                <w:u w:val="none"/>
                <w:lang w:val="en-US" w:eastAsia="zh-CN"/>
              </w:rPr>
              <w:t>6.</w:t>
            </w:r>
            <w:r>
              <w:rPr>
                <w:rFonts w:hint="eastAsia" w:ascii="Times New Roman" w:hAnsi="Times New Roman" w:eastAsia="仿宋" w:cs="仿宋"/>
                <w:b/>
                <w:bCs/>
                <w:i w:val="0"/>
                <w:color w:val="000000"/>
                <w:kern w:val="0"/>
                <w:sz w:val="22"/>
                <w:szCs w:val="22"/>
                <w:u w:val="none"/>
                <w:lang w:val="en-US" w:eastAsia="zh-CN"/>
              </w:rPr>
              <w:t>第三十一条</w:t>
            </w:r>
            <w:r>
              <w:rPr>
                <w:rFonts w:hint="eastAsia" w:ascii="Times New Roman" w:hAnsi="Times New Roman" w:eastAsia="仿宋" w:cs="仿宋"/>
                <w:i w:val="0"/>
                <w:color w:val="000000"/>
                <w:kern w:val="0"/>
                <w:sz w:val="22"/>
                <w:szCs w:val="22"/>
                <w:u w:val="none"/>
                <w:lang w:val="en-US" w:eastAsia="zh-CN"/>
              </w:rPr>
              <w:t>：“本办法自发布之日起施行…”</w:t>
            </w:r>
          </w:p>
        </w:tc>
        <w:tc>
          <w:tcPr>
            <w:tcW w:w="1200"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与省政府规章相抵触</w:t>
            </w:r>
          </w:p>
        </w:tc>
        <w:tc>
          <w:tcPr>
            <w:tcW w:w="2730" w:type="dxa"/>
            <w:vAlign w:val="center"/>
          </w:tcPr>
          <w:p>
            <w:pPr>
              <w:widowControl/>
              <w:numPr>
                <w:ilvl w:val="0"/>
                <w:numId w:val="0"/>
              </w:numPr>
              <w:ind w:left="0" w:leftChars="0" w:firstLine="0" w:firstLineChars="0"/>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海南省行政规范性文件制定与备案规定》第二十条、《海南省规范性文件制定与备案登记规定》第二十一条分别规定，行政规范性文件应当自公布之日起30日以后施行；但因保障国家安全、重大公共利益的需要，或者公布后不立即施行将有碍法律、法规、规章和政策执行的除外。该规范性文件不存在除外情形，故应当严格适用前述规定，自公布之日起30日以后施行。</w:t>
            </w:r>
          </w:p>
        </w:tc>
        <w:tc>
          <w:tcPr>
            <w:tcW w:w="1785"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建议将施行日期改为：“自公布之日起30日以后施行…”（省略部分自行补充完整）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jc w:val="both"/>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7.部分条款：</w:t>
            </w:r>
            <w:r>
              <w:rPr>
                <w:rFonts w:hint="eastAsia" w:ascii="Times New Roman" w:hAnsi="Times New Roman" w:eastAsia="仿宋" w:cs="仿宋"/>
                <w:b/>
                <w:bCs/>
                <w:i w:val="0"/>
                <w:color w:val="000000"/>
                <w:kern w:val="0"/>
                <w:sz w:val="22"/>
                <w:szCs w:val="22"/>
                <w:u w:val="none"/>
                <w:lang w:val="en-US" w:eastAsia="zh-CN"/>
              </w:rPr>
              <w:t>第五条</w:t>
            </w:r>
            <w:r>
              <w:rPr>
                <w:rFonts w:hint="eastAsia" w:ascii="Times New Roman" w:hAnsi="Times New Roman" w:eastAsia="仿宋" w:cs="仿宋"/>
                <w:i w:val="0"/>
                <w:color w:val="000000"/>
                <w:kern w:val="0"/>
                <w:sz w:val="22"/>
                <w:szCs w:val="22"/>
                <w:u w:val="none"/>
                <w:lang w:val="en-US" w:eastAsia="zh-CN"/>
              </w:rPr>
              <w:t>：“市人民政府成立市大型活动管理领导小组（以下简称“市大型活动领导小组”）。主要任务是…”</w:t>
            </w:r>
          </w:p>
          <w:p>
            <w:pPr>
              <w:widowControl/>
              <w:jc w:val="both"/>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b/>
                <w:bCs/>
                <w:i w:val="0"/>
                <w:color w:val="000000"/>
                <w:kern w:val="0"/>
                <w:sz w:val="22"/>
                <w:szCs w:val="22"/>
                <w:u w:val="none"/>
                <w:lang w:val="en-US" w:eastAsia="zh-CN"/>
              </w:rPr>
              <w:t>第七条</w:t>
            </w:r>
            <w:r>
              <w:rPr>
                <w:rFonts w:hint="eastAsia" w:ascii="Times New Roman" w:hAnsi="Times New Roman" w:eastAsia="仿宋" w:cs="仿宋"/>
                <w:i w:val="0"/>
                <w:color w:val="000000"/>
                <w:kern w:val="0"/>
                <w:sz w:val="22"/>
                <w:szCs w:val="22"/>
                <w:u w:val="none"/>
                <w:lang w:val="en-US" w:eastAsia="zh-CN"/>
              </w:rPr>
              <w:t>：“设立大型活动专项资金（以下简称“大型活动资金”），列入市本级年度财政预算，专项用于扶持大型活动的举办。适用本办法的大型活动可按程序申请专项资金。”</w:t>
            </w:r>
          </w:p>
        </w:tc>
        <w:tc>
          <w:tcPr>
            <w:tcW w:w="1200" w:type="dxa"/>
            <w:vAlign w:val="center"/>
          </w:tcPr>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条文表述不规范</w:t>
            </w:r>
          </w:p>
        </w:tc>
        <w:tc>
          <w:tcPr>
            <w:tcW w:w="2730" w:type="dxa"/>
            <w:vAlign w:val="top"/>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p>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规范性文件中涉及简称表述的，应在该名称第一次出现时就注明“以下简称”，但是本规范性文件中，分别在第五、第七条注明了“以下简称”，但是简称内容却在前文中已经出现，条文表述不规范。</w:t>
            </w:r>
          </w:p>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1785"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建议对照关于适用简称表述的标准，修改本规范性文件。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Merge w:val="restart"/>
            <w:vAlign w:val="center"/>
          </w:tcPr>
          <w:p>
            <w:pPr>
              <w:jc w:val="center"/>
              <w:rPr>
                <w:rFonts w:hint="eastAsia" w:ascii="Times New Roman" w:hAnsi="Times New Roman" w:eastAsia="黑体" w:cs="黑体"/>
                <w:sz w:val="24"/>
                <w:szCs w:val="24"/>
              </w:rPr>
            </w:pPr>
            <w:r>
              <w:rPr>
                <w:rFonts w:hint="eastAsia" w:ascii="Times New Roman" w:hAnsi="Times New Roman" w:eastAsia="黑体" w:cs="黑体"/>
                <w:sz w:val="24"/>
                <w:szCs w:val="24"/>
              </w:rPr>
              <w:t>三府〔2019〕10号《三亚市人民政府关于打击非法道路客运经营行为的通告》</w:t>
            </w:r>
          </w:p>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jc w:val="left"/>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sz w:val="22"/>
                <w:szCs w:val="22"/>
              </w:rPr>
              <w:t>1.</w:t>
            </w:r>
            <w:r>
              <w:rPr>
                <w:rFonts w:hint="eastAsia" w:ascii="Times New Roman" w:hAnsi="Times New Roman" w:eastAsia="仿宋" w:cs="仿宋"/>
                <w:b/>
                <w:bCs/>
                <w:sz w:val="22"/>
                <w:szCs w:val="22"/>
              </w:rPr>
              <w:t>第二条第四款</w:t>
            </w:r>
            <w:r>
              <w:rPr>
                <w:rFonts w:hint="eastAsia" w:ascii="Times New Roman" w:hAnsi="Times New Roman" w:eastAsia="仿宋" w:cs="仿宋"/>
                <w:sz w:val="22"/>
                <w:szCs w:val="22"/>
              </w:rPr>
              <w:t>：“旅行社进行虚假宣传，误导旅游者、向不合格的供应商订购产品和服务的，由旅游主管部门依照《中华人民共和国旅游法》第九十七条规定处罚。”</w:t>
            </w:r>
          </w:p>
        </w:tc>
        <w:tc>
          <w:tcPr>
            <w:tcW w:w="1200" w:type="dxa"/>
            <w:vAlign w:val="center"/>
          </w:tcPr>
          <w:p>
            <w:pPr>
              <w:jc w:val="both"/>
              <w:rPr>
                <w:rFonts w:hint="eastAsia" w:ascii="Times New Roman" w:hAnsi="Times New Roman"/>
              </w:rPr>
            </w:pPr>
          </w:p>
          <w:p>
            <w:pPr>
              <w:jc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超出规范性文件制定目的</w:t>
            </w:r>
          </w:p>
        </w:tc>
        <w:tc>
          <w:tcPr>
            <w:tcW w:w="2730"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本款系对旅行社相关违法情形的处罚条款，与打击非法道路客运经营行为无关，不符合本规范性文件的制定目的。</w:t>
            </w:r>
          </w:p>
        </w:tc>
        <w:tc>
          <w:tcPr>
            <w:tcW w:w="1785" w:type="dxa"/>
            <w:vAlign w:val="center"/>
          </w:tcPr>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建议删除本款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jc w:val="left"/>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sz w:val="22"/>
                <w:szCs w:val="22"/>
              </w:rPr>
              <w:t>2.</w:t>
            </w:r>
            <w:r>
              <w:rPr>
                <w:rFonts w:hint="eastAsia" w:ascii="Times New Roman" w:hAnsi="Times New Roman" w:eastAsia="仿宋" w:cs="仿宋"/>
                <w:b/>
                <w:bCs/>
                <w:sz w:val="22"/>
                <w:szCs w:val="22"/>
              </w:rPr>
              <w:t>第二条第六款</w:t>
            </w:r>
            <w:r>
              <w:rPr>
                <w:rFonts w:hint="eastAsia" w:ascii="Times New Roman" w:hAnsi="Times New Roman" w:eastAsia="仿宋" w:cs="仿宋"/>
                <w:sz w:val="22"/>
                <w:szCs w:val="22"/>
              </w:rPr>
              <w:t>：“在机场、火车站、汽车站周边等重点区域从事非法道路客运经营的，由公安部门、交通运输部门和综合行政执法部门分别依法从重处罚。”</w:t>
            </w:r>
          </w:p>
        </w:tc>
        <w:tc>
          <w:tcPr>
            <w:tcW w:w="1200" w:type="dxa"/>
            <w:vAlign w:val="center"/>
          </w:tcPr>
          <w:p>
            <w:pPr>
              <w:jc w:val="center"/>
              <w:rPr>
                <w:rFonts w:hint="eastAsia" w:ascii="Times New Roman" w:hAnsi="Times New Roman"/>
              </w:rPr>
            </w:pPr>
          </w:p>
          <w:p>
            <w:pPr>
              <w:jc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与上位法相抵触</w:t>
            </w:r>
          </w:p>
        </w:tc>
        <w:tc>
          <w:tcPr>
            <w:tcW w:w="2730" w:type="dxa"/>
            <w:vAlign w:val="top"/>
          </w:tcPr>
          <w:p>
            <w:pPr>
              <w:numPr>
                <w:ilvl w:val="0"/>
                <w:numId w:val="0"/>
              </w:numP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1.根据《行政处罚法》第十四条规定，除了法律、法规、规章外的其他规范性文件不能设定行政处罚。</w:t>
            </w:r>
          </w:p>
          <w:p>
            <w:pPr>
              <w:widowControl w:val="0"/>
              <w:numPr>
                <w:ilvl w:val="0"/>
                <w:numId w:val="0"/>
              </w:numPr>
              <w:wordWrap/>
              <w:adjustRightInd/>
              <w:snapToGrid/>
              <w:spacing w:line="14" w:lineRule="exact"/>
              <w:textAlignment w:val="auto"/>
              <w:rPr>
                <w:rFonts w:hint="eastAsia" w:ascii="Times New Roman" w:hAnsi="Times New Roman" w:eastAsia="仿宋" w:cs="仿宋"/>
                <w:i w:val="0"/>
                <w:color w:val="000000"/>
                <w:kern w:val="0"/>
                <w:sz w:val="22"/>
                <w:szCs w:val="22"/>
                <w:u w:val="none"/>
                <w:lang w:val="en-US" w:eastAsia="zh-CN"/>
              </w:rPr>
            </w:pPr>
          </w:p>
          <w:p>
            <w:pPr>
              <w:numPr>
                <w:ilvl w:val="0"/>
                <w:numId w:val="0"/>
              </w:numPr>
              <w:ind w:left="0" w:leftChars="0" w:firstLine="0" w:firstLineChars="0"/>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2.《行政处罚法》《治安管理处罚法》并未规定发生本款情形可从重处罚。</w:t>
            </w:r>
          </w:p>
        </w:tc>
        <w:tc>
          <w:tcPr>
            <w:tcW w:w="1785"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建议删除本款；确有保留必要的，建议严格按照相关上位法规定进行表述，做到处罚于法有据。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numPr>
                <w:ilvl w:val="0"/>
                <w:numId w:val="2"/>
              </w:numPr>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b/>
                <w:bCs/>
                <w:i w:val="0"/>
                <w:color w:val="000000"/>
                <w:kern w:val="0"/>
                <w:sz w:val="22"/>
                <w:szCs w:val="22"/>
                <w:u w:val="none"/>
                <w:lang w:val="en-US" w:eastAsia="zh-CN"/>
              </w:rPr>
              <w:t>第三条</w:t>
            </w:r>
            <w:r>
              <w:rPr>
                <w:rFonts w:hint="eastAsia" w:ascii="Times New Roman" w:hAnsi="Times New Roman" w:eastAsia="仿宋" w:cs="仿宋"/>
                <w:i w:val="0"/>
                <w:color w:val="000000"/>
                <w:kern w:val="0"/>
                <w:sz w:val="22"/>
                <w:szCs w:val="22"/>
                <w:u w:val="none"/>
                <w:lang w:val="en-US" w:eastAsia="zh-CN"/>
              </w:rPr>
              <w:t>：“从事非法道路客运经营，阻碍交通运输行政执法人员依法执行职务，有下列行为之一的，由公安机关依照《中华人民共和国治安管理处罚法》第五十条规定处罚：</w:t>
            </w:r>
            <w:r>
              <w:rPr>
                <w:rFonts w:hint="eastAsia" w:ascii="Times New Roman" w:hAnsi="Times New Roman" w:eastAsia="仿宋" w:cs="仿宋"/>
                <w:i w:val="0"/>
                <w:color w:val="000000"/>
                <w:kern w:val="0"/>
                <w:sz w:val="22"/>
                <w:szCs w:val="22"/>
                <w:u w:val="none"/>
                <w:lang w:val="en-US" w:eastAsia="zh-CN"/>
              </w:rPr>
              <w:br w:type="textWrapping"/>
            </w:r>
            <w:r>
              <w:rPr>
                <w:rFonts w:hint="eastAsia" w:ascii="Times New Roman" w:hAnsi="Times New Roman" w:eastAsia="仿宋" w:cs="仿宋"/>
                <w:i w:val="0"/>
                <w:color w:val="000000"/>
                <w:kern w:val="0"/>
                <w:sz w:val="22"/>
                <w:szCs w:val="22"/>
                <w:u w:val="none"/>
                <w:lang w:val="en-US" w:eastAsia="zh-CN"/>
              </w:rPr>
              <w:t>（一）阻碍交通运输行政执法人员依法扣押涉嫌非法道路客运经营车辆的；</w:t>
            </w:r>
          </w:p>
          <w:p>
            <w:pPr>
              <w:widowControl/>
              <w:numPr>
                <w:ilvl w:val="0"/>
                <w:numId w:val="0"/>
              </w:numPr>
              <w:ind w:left="0" w:leftChars="0" w:firstLine="0" w:firstLineChars="0"/>
              <w:jc w:val="both"/>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（二）阻碍交通运输行政执法人员执法车辆行驶的；</w:t>
            </w:r>
            <w:r>
              <w:rPr>
                <w:rFonts w:hint="eastAsia" w:ascii="Times New Roman" w:hAnsi="Times New Roman" w:eastAsia="仿宋" w:cs="仿宋"/>
                <w:i w:val="0"/>
                <w:color w:val="000000"/>
                <w:kern w:val="0"/>
                <w:sz w:val="22"/>
                <w:szCs w:val="22"/>
                <w:u w:val="none"/>
                <w:lang w:val="en-US" w:eastAsia="zh-CN"/>
              </w:rPr>
              <w:br w:type="textWrapping"/>
            </w:r>
            <w:r>
              <w:rPr>
                <w:rFonts w:hint="eastAsia" w:ascii="Times New Roman" w:hAnsi="Times New Roman" w:eastAsia="仿宋" w:cs="仿宋"/>
                <w:i w:val="0"/>
                <w:color w:val="000000"/>
                <w:kern w:val="0"/>
                <w:sz w:val="22"/>
                <w:szCs w:val="22"/>
                <w:u w:val="none"/>
                <w:lang w:val="en-US" w:eastAsia="zh-CN"/>
              </w:rPr>
              <w:t>（三）阻碍交通运输行政执法人员调查取证的；</w:t>
            </w:r>
            <w:r>
              <w:rPr>
                <w:rFonts w:hint="eastAsia" w:ascii="Times New Roman" w:hAnsi="Times New Roman" w:eastAsia="仿宋" w:cs="仿宋"/>
                <w:i w:val="0"/>
                <w:color w:val="000000"/>
                <w:kern w:val="0"/>
                <w:sz w:val="22"/>
                <w:szCs w:val="22"/>
                <w:u w:val="none"/>
                <w:lang w:val="en-US" w:eastAsia="zh-CN"/>
              </w:rPr>
              <w:br w:type="textWrapping"/>
            </w:r>
            <w:r>
              <w:rPr>
                <w:rFonts w:hint="eastAsia" w:ascii="Times New Roman" w:hAnsi="Times New Roman" w:eastAsia="仿宋" w:cs="仿宋"/>
                <w:i w:val="0"/>
                <w:color w:val="000000"/>
                <w:kern w:val="0"/>
                <w:sz w:val="22"/>
                <w:szCs w:val="22"/>
                <w:u w:val="none"/>
                <w:lang w:val="en-US" w:eastAsia="zh-CN"/>
              </w:rPr>
              <w:t>（四）拒绝接受调查取证，强行冲卡、逃逸的；</w:t>
            </w:r>
            <w:r>
              <w:rPr>
                <w:rFonts w:hint="eastAsia" w:ascii="Times New Roman" w:hAnsi="Times New Roman" w:eastAsia="仿宋" w:cs="仿宋"/>
                <w:i w:val="0"/>
                <w:color w:val="000000"/>
                <w:kern w:val="0"/>
                <w:sz w:val="22"/>
                <w:szCs w:val="22"/>
                <w:u w:val="none"/>
                <w:lang w:val="en-US" w:eastAsia="zh-CN"/>
              </w:rPr>
              <w:br w:type="textWrapping"/>
            </w:r>
            <w:r>
              <w:rPr>
                <w:rFonts w:hint="eastAsia" w:ascii="Times New Roman" w:hAnsi="Times New Roman" w:eastAsia="仿宋" w:cs="仿宋"/>
                <w:i w:val="0"/>
                <w:color w:val="000000"/>
                <w:kern w:val="0"/>
                <w:sz w:val="22"/>
                <w:szCs w:val="22"/>
                <w:u w:val="none"/>
                <w:lang w:val="en-US" w:eastAsia="zh-CN"/>
              </w:rPr>
              <w:t>（五）威胁、恐吓交通运输行政执法人员，尚未构成犯罪的；</w:t>
            </w:r>
            <w:r>
              <w:rPr>
                <w:rFonts w:hint="eastAsia" w:ascii="Times New Roman" w:hAnsi="Times New Roman" w:eastAsia="仿宋" w:cs="仿宋"/>
                <w:i w:val="0"/>
                <w:color w:val="000000"/>
                <w:kern w:val="0"/>
                <w:sz w:val="22"/>
                <w:szCs w:val="22"/>
                <w:u w:val="none"/>
                <w:lang w:val="en-US" w:eastAsia="zh-CN"/>
              </w:rPr>
              <w:br w:type="textWrapping"/>
            </w:r>
            <w:r>
              <w:rPr>
                <w:rFonts w:hint="eastAsia" w:ascii="Times New Roman" w:hAnsi="Times New Roman" w:eastAsia="仿宋" w:cs="仿宋"/>
                <w:i w:val="0"/>
                <w:color w:val="000000"/>
                <w:kern w:val="0"/>
                <w:sz w:val="22"/>
                <w:szCs w:val="22"/>
                <w:u w:val="none"/>
                <w:lang w:val="en-US" w:eastAsia="zh-CN"/>
              </w:rPr>
              <w:t>（六）故意伤害交通运输行政执法人员，尚未构成犯罪的；</w:t>
            </w:r>
            <w:r>
              <w:rPr>
                <w:rFonts w:hint="eastAsia" w:ascii="Times New Roman" w:hAnsi="Times New Roman" w:eastAsia="仿宋" w:cs="仿宋"/>
                <w:i w:val="0"/>
                <w:color w:val="000000"/>
                <w:kern w:val="0"/>
                <w:sz w:val="22"/>
                <w:szCs w:val="22"/>
                <w:u w:val="none"/>
                <w:lang w:val="en-US" w:eastAsia="zh-CN"/>
              </w:rPr>
              <w:br w:type="textWrapping"/>
            </w:r>
            <w:r>
              <w:rPr>
                <w:rFonts w:hint="eastAsia" w:ascii="Times New Roman" w:hAnsi="Times New Roman" w:eastAsia="仿宋" w:cs="仿宋"/>
                <w:i w:val="0"/>
                <w:color w:val="000000"/>
                <w:kern w:val="0"/>
                <w:sz w:val="22"/>
                <w:szCs w:val="22"/>
                <w:u w:val="none"/>
                <w:lang w:val="en-US" w:eastAsia="zh-CN"/>
              </w:rPr>
              <w:t>（七）聚众闹事，围攻交通运输行政执法人员，尚未构成犯罪的；聚众实施前款行为的，对首要分子依法从重处罚。阻碍人民警察依法执行职务的，从重处罚。</w:t>
            </w:r>
          </w:p>
        </w:tc>
        <w:tc>
          <w:tcPr>
            <w:tcW w:w="1200" w:type="dxa"/>
            <w:vAlign w:val="center"/>
          </w:tcPr>
          <w:p>
            <w:pPr>
              <w:jc w:val="center"/>
              <w:rPr>
                <w:rFonts w:ascii="Times New Roman" w:hAnsi="Times New Roman"/>
                <w:lang w:val="en-US" w:eastAsia="zh-CN"/>
              </w:rPr>
            </w:pPr>
          </w:p>
          <w:p>
            <w:pPr>
              <w:jc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与上位法相抵触</w:t>
            </w:r>
          </w:p>
        </w:tc>
        <w:tc>
          <w:tcPr>
            <w:tcW w:w="2730" w:type="dxa"/>
            <w:vAlign w:val="top"/>
          </w:tcPr>
          <w:p>
            <w:pPr>
              <w:numPr>
                <w:ilvl w:val="0"/>
                <w:numId w:val="0"/>
              </w:numP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1.根据《行政处罚法》第十四条规定，除法律、法规、规章外的其他规范性文件不能设定行政处罚。</w:t>
            </w:r>
          </w:p>
          <w:p>
            <w:pPr>
              <w:widowControl w:val="0"/>
              <w:numPr>
                <w:ilvl w:val="0"/>
                <w:numId w:val="0"/>
              </w:numPr>
              <w:wordWrap/>
              <w:adjustRightInd/>
              <w:snapToGrid/>
              <w:spacing w:line="14" w:lineRule="exact"/>
              <w:textAlignment w:val="auto"/>
              <w:rPr>
                <w:rFonts w:hint="eastAsia" w:ascii="Times New Roman" w:hAnsi="Times New Roman" w:eastAsia="仿宋" w:cs="仿宋"/>
                <w:i w:val="0"/>
                <w:color w:val="000000"/>
                <w:kern w:val="0"/>
                <w:sz w:val="22"/>
                <w:szCs w:val="22"/>
                <w:u w:val="none"/>
                <w:lang w:val="en-US" w:eastAsia="zh-CN"/>
              </w:rPr>
            </w:pPr>
          </w:p>
          <w:p>
            <w:pPr>
              <w:rPr>
                <w:rFonts w:ascii="Times New Roman" w:hAnsi="Times New Roman"/>
                <w:lang w:val="en-US" w:eastAsia="zh-CN"/>
              </w:rPr>
            </w:pPr>
            <w:r>
              <w:rPr>
                <w:rFonts w:hint="eastAsia" w:ascii="Times New Roman" w:hAnsi="Times New Roman" w:eastAsia="仿宋" w:cs="仿宋"/>
                <w:i w:val="0"/>
                <w:color w:val="000000"/>
                <w:kern w:val="0"/>
                <w:sz w:val="22"/>
                <w:szCs w:val="22"/>
                <w:u w:val="none"/>
                <w:lang w:val="en-US" w:eastAsia="zh-CN"/>
              </w:rPr>
              <w:t>2.《行政处罚法》《治安管理处罚法》中，没有关于发生本款情形可从重处罚的规定。</w:t>
            </w:r>
          </w:p>
          <w:p>
            <w:pPr>
              <w:ind w:firstLine="402" w:firstLineChars="0"/>
              <w:jc w:val="left"/>
              <w:rPr>
                <w:rFonts w:hint="eastAsia" w:ascii="Times New Roman" w:hAnsi="Times New Roman" w:eastAsia="仿宋" w:cs="仿宋"/>
                <w:b w:val="0"/>
                <w:bCs w:val="0"/>
                <w:i w:val="0"/>
                <w:color w:val="000000"/>
                <w:kern w:val="0"/>
                <w:sz w:val="22"/>
                <w:szCs w:val="22"/>
                <w:u w:val="none"/>
                <w:lang w:val="en-US" w:eastAsia="zh-CN"/>
              </w:rPr>
            </w:pPr>
          </w:p>
        </w:tc>
        <w:tc>
          <w:tcPr>
            <w:tcW w:w="1785" w:type="dxa"/>
            <w:vAlign w:val="center"/>
          </w:tcPr>
          <w:p>
            <w:pPr>
              <w:numPr>
                <w:ilvl w:val="0"/>
                <w:numId w:val="0"/>
              </w:numPr>
              <w:jc w:val="left"/>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1.建议按照《行政处罚法》《治安管理处罚法》的有关规定进行表述。</w:t>
            </w:r>
          </w:p>
          <w:p>
            <w:pPr>
              <w:numPr>
                <w:ilvl w:val="0"/>
                <w:numId w:val="0"/>
              </w:numPr>
              <w:ind w:left="0" w:leftChars="0" w:firstLine="0" w:firstLineChars="0"/>
              <w:jc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2.删除本条第七项中“聚众实施前款行为的，对首要分子依法从重处罚”的规定。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4.</w:t>
            </w:r>
            <w:r>
              <w:rPr>
                <w:rFonts w:hint="eastAsia" w:ascii="Times New Roman" w:hAnsi="Times New Roman" w:eastAsia="仿宋" w:cs="仿宋"/>
                <w:b/>
                <w:bCs/>
                <w:i w:val="0"/>
                <w:color w:val="000000"/>
                <w:kern w:val="0"/>
                <w:sz w:val="22"/>
                <w:szCs w:val="22"/>
                <w:u w:val="none"/>
                <w:lang w:val="en-US" w:eastAsia="zh-CN"/>
              </w:rPr>
              <w:t>第五条</w:t>
            </w:r>
            <w:r>
              <w:rPr>
                <w:rFonts w:hint="eastAsia" w:ascii="Times New Roman" w:hAnsi="Times New Roman" w:eastAsia="仿宋" w:cs="仿宋"/>
                <w:i w:val="0"/>
                <w:color w:val="000000"/>
                <w:kern w:val="0"/>
                <w:sz w:val="22"/>
                <w:szCs w:val="22"/>
                <w:u w:val="none"/>
                <w:lang w:val="en-US" w:eastAsia="zh-CN"/>
              </w:rPr>
              <w:t>：“对已取得道路运输经营及道路运输相关业务资质从事非法道路客运经营活动的企业，由交通运输部门依据《中华人民共和国道路运输条例》第六十三条规定，从严从重处罚。”</w:t>
            </w:r>
          </w:p>
        </w:tc>
        <w:tc>
          <w:tcPr>
            <w:tcW w:w="1200" w:type="dxa"/>
            <w:vAlign w:val="center"/>
          </w:tcPr>
          <w:p>
            <w:pPr>
              <w:widowControl/>
              <w:jc w:val="center"/>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与上位法相抵触</w:t>
            </w:r>
          </w:p>
        </w:tc>
        <w:tc>
          <w:tcPr>
            <w:tcW w:w="2730" w:type="dxa"/>
            <w:vAlign w:val="top"/>
          </w:tcPr>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1.《道路运输条例》第六十三条规定的处罚对象是未取得道路运输经营许可，擅自从事道路运输经营的主体，而非本条规定的“已取得道路运输经营及道路运输相关业务资质从事非法道路客运经营活动的企业”，本条扩大了处罚对象，违反了上位法规定。</w:t>
            </w:r>
          </w:p>
          <w:p>
            <w:pPr>
              <w:widowControl/>
              <w:numPr>
                <w:ilvl w:val="0"/>
                <w:numId w:val="0"/>
              </w:numPr>
              <w:ind w:left="0" w:leftChars="0" w:firstLine="0" w:firstLineChars="0"/>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2.《道路运输条例》没有关于从重处罚的规定。</w:t>
            </w:r>
          </w:p>
        </w:tc>
        <w:tc>
          <w:tcPr>
            <w:tcW w:w="1785" w:type="dxa"/>
            <w:vAlign w:val="center"/>
          </w:tcPr>
          <w:p>
            <w:pPr>
              <w:widowControl/>
              <w:jc w:val="center"/>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建议删除本条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5.</w:t>
            </w:r>
            <w:r>
              <w:rPr>
                <w:rFonts w:hint="eastAsia" w:ascii="Times New Roman" w:hAnsi="Times New Roman" w:eastAsia="仿宋" w:cs="仿宋"/>
                <w:b/>
                <w:bCs/>
                <w:i w:val="0"/>
                <w:color w:val="000000"/>
                <w:kern w:val="0"/>
                <w:sz w:val="22"/>
                <w:szCs w:val="22"/>
                <w:u w:val="none"/>
                <w:lang w:val="en-US" w:eastAsia="zh-CN"/>
              </w:rPr>
              <w:t>第九条</w:t>
            </w:r>
            <w:r>
              <w:rPr>
                <w:rFonts w:hint="eastAsia" w:ascii="Times New Roman" w:hAnsi="Times New Roman" w:eastAsia="仿宋" w:cs="仿宋"/>
                <w:i w:val="0"/>
                <w:color w:val="000000"/>
                <w:kern w:val="0"/>
                <w:sz w:val="22"/>
                <w:szCs w:val="22"/>
                <w:u w:val="none"/>
                <w:lang w:val="en-US" w:eastAsia="zh-CN"/>
              </w:rPr>
              <w:t>：“本公告自发布之日起实施。有关法律法规、政策依据变化，根据实施情况依法评估修订。”</w:t>
            </w:r>
          </w:p>
        </w:tc>
        <w:tc>
          <w:tcPr>
            <w:tcW w:w="1200"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与省政府规章相抵触</w:t>
            </w:r>
          </w:p>
        </w:tc>
        <w:tc>
          <w:tcPr>
            <w:tcW w:w="2730" w:type="dxa"/>
            <w:vAlign w:val="top"/>
          </w:tcPr>
          <w:p>
            <w:pPr>
              <w:widowControl/>
              <w:numPr>
                <w:ilvl w:val="0"/>
                <w:numId w:val="0"/>
              </w:numPr>
              <w:ind w:left="0" w:leftChars="0" w:firstLine="0" w:firstLineChars="0"/>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海南省行政规范性文件制定与备案规定》第二十条、《海南省规范性文件制定与备案登记规定》第二十一条分别规定，行政规范性文件应当自公布之日起30日以后施行；但因保障国家安全、重大公共利益的需要，或者公布后不立即施行将有碍法律、法规、规章和政策执行的除外。该规范性文件不存在除外情形，故应当严格适用前述规定，自公布之日起30日以后施行。</w:t>
            </w:r>
          </w:p>
        </w:tc>
        <w:tc>
          <w:tcPr>
            <w:tcW w:w="1785"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建议将施行日期改为：“自公布之日起30日以后施行…”（省略部分自行补充完整）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65" w:type="dxa"/>
            <w:vMerge w:val="restart"/>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黑体" w:cs="黑体"/>
                <w:sz w:val="24"/>
                <w:szCs w:val="24"/>
                <w:lang w:eastAsia="zh-CN"/>
              </w:rPr>
              <w:t>三府〔2019〕23号《</w:t>
            </w:r>
            <w:r>
              <w:rPr>
                <w:rFonts w:hint="eastAsia" w:ascii="Times New Roman" w:hAnsi="Times New Roman" w:eastAsia="黑体" w:cs="黑体"/>
                <w:sz w:val="24"/>
                <w:szCs w:val="24"/>
              </w:rPr>
              <w:t>三亚市公安机关警务辅助人员管理办法（试行）</w:t>
            </w:r>
            <w:r>
              <w:rPr>
                <w:rFonts w:hint="eastAsia" w:ascii="Times New Roman" w:hAnsi="Times New Roman" w:eastAsia="黑体" w:cs="黑体"/>
                <w:sz w:val="24"/>
                <w:szCs w:val="24"/>
                <w:lang w:eastAsia="zh-CN"/>
              </w:rPr>
              <w:t>》</w:t>
            </w:r>
          </w:p>
        </w:tc>
        <w:tc>
          <w:tcPr>
            <w:tcW w:w="3375"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b w:val="0"/>
                <w:bCs w:val="0"/>
                <w:i w:val="0"/>
                <w:color w:val="000000"/>
                <w:kern w:val="0"/>
                <w:sz w:val="22"/>
                <w:szCs w:val="22"/>
                <w:u w:val="none"/>
                <w:lang w:val="en-US" w:eastAsia="zh-CN"/>
              </w:rPr>
              <w:t>1.</w:t>
            </w:r>
            <w:r>
              <w:rPr>
                <w:rFonts w:hint="eastAsia" w:ascii="Times New Roman" w:hAnsi="Times New Roman" w:eastAsia="仿宋" w:cs="仿宋"/>
                <w:b/>
                <w:bCs/>
                <w:i w:val="0"/>
                <w:color w:val="000000"/>
                <w:kern w:val="0"/>
                <w:sz w:val="22"/>
                <w:szCs w:val="22"/>
                <w:u w:val="none"/>
                <w:lang w:val="en-US" w:eastAsia="zh-CN"/>
              </w:rPr>
              <w:t>第二十一条第一款：</w:t>
            </w:r>
            <w:r>
              <w:rPr>
                <w:rFonts w:hint="eastAsia" w:ascii="Times New Roman" w:hAnsi="Times New Roman" w:eastAsia="仿宋" w:cs="仿宋"/>
                <w:i w:val="0"/>
                <w:color w:val="000000"/>
                <w:kern w:val="0"/>
                <w:sz w:val="22"/>
                <w:szCs w:val="22"/>
                <w:u w:val="none"/>
                <w:lang w:val="en-US" w:eastAsia="zh-CN"/>
              </w:rPr>
              <w:t>“</w:t>
            </w:r>
            <w:r>
              <w:rPr>
                <w:rFonts w:hint="default" w:ascii="Times New Roman" w:hAnsi="Times New Roman" w:eastAsia="仿宋" w:cs="仿宋"/>
                <w:i w:val="0"/>
                <w:color w:val="000000"/>
                <w:kern w:val="0"/>
                <w:sz w:val="22"/>
                <w:szCs w:val="22"/>
                <w:u w:val="none"/>
                <w:lang w:val="en-US" w:eastAsia="zh-CN"/>
              </w:rPr>
              <w:t>新招聘的辅警实行试用期制度，试用期限为6个月。</w:t>
            </w:r>
            <w:r>
              <w:rPr>
                <w:rFonts w:hint="eastAsia" w:ascii="Times New Roman" w:hAnsi="Times New Roman" w:eastAsia="仿宋" w:cs="仿宋"/>
                <w:i w:val="0"/>
                <w:color w:val="000000"/>
                <w:kern w:val="0"/>
                <w:sz w:val="22"/>
                <w:szCs w:val="22"/>
                <w:u w:val="none"/>
                <w:lang w:val="en-US" w:eastAsia="zh-CN"/>
              </w:rPr>
              <w:t>”</w:t>
            </w:r>
          </w:p>
        </w:tc>
        <w:tc>
          <w:tcPr>
            <w:tcW w:w="1200" w:type="dxa"/>
            <w:vAlign w:val="center"/>
          </w:tcPr>
          <w:p>
            <w:pPr>
              <w:widowControl/>
              <w:jc w:val="center"/>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与上位法相抵触</w:t>
            </w:r>
          </w:p>
        </w:tc>
        <w:tc>
          <w:tcPr>
            <w:tcW w:w="2730" w:type="dxa"/>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《劳动合同法》第十九条　规定：“劳动合同期限三个月以上不满一年的，试用期不得超过一个月；劳动合同期限一年以上不满三年的，试用期不得超过二个月；三年以上固定期限和无固定期限的劳动合同，试用期不得超过六个月。”本规范性文件在规定时，并未明确警务辅助人员的劳动期限，一律规定试用期为6个月，违反上位法。</w:t>
            </w:r>
          </w:p>
        </w:tc>
        <w:tc>
          <w:tcPr>
            <w:tcW w:w="1785"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建议删除本款，或在本规范性文件中明确警务辅助人员的劳动合同期限，严格按照《劳动合同法》规定设置试用期。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b w:val="0"/>
                <w:bCs w:val="0"/>
                <w:i w:val="0"/>
                <w:color w:val="000000"/>
                <w:kern w:val="0"/>
                <w:sz w:val="22"/>
                <w:szCs w:val="22"/>
                <w:u w:val="none"/>
                <w:lang w:val="en-US" w:eastAsia="zh-CN"/>
              </w:rPr>
              <w:t>2.</w:t>
            </w:r>
            <w:r>
              <w:rPr>
                <w:rFonts w:hint="eastAsia" w:ascii="Times New Roman" w:hAnsi="Times New Roman" w:eastAsia="仿宋" w:cs="仿宋"/>
                <w:b/>
                <w:bCs/>
                <w:i w:val="0"/>
                <w:color w:val="000000"/>
                <w:kern w:val="0"/>
                <w:sz w:val="22"/>
                <w:szCs w:val="22"/>
                <w:u w:val="none"/>
                <w:lang w:val="en-US" w:eastAsia="zh-CN"/>
              </w:rPr>
              <w:t>第四十四条：</w:t>
            </w:r>
            <w:r>
              <w:rPr>
                <w:rFonts w:hint="eastAsia" w:ascii="Times New Roman" w:hAnsi="Times New Roman" w:eastAsia="仿宋" w:cs="仿宋"/>
                <w:b w:val="0"/>
                <w:bCs w:val="0"/>
                <w:i w:val="0"/>
                <w:color w:val="000000"/>
                <w:kern w:val="0"/>
                <w:sz w:val="22"/>
                <w:szCs w:val="22"/>
                <w:u w:val="none"/>
                <w:lang w:val="en-US" w:eastAsia="zh-CN"/>
              </w:rPr>
              <w:t>“本办法自印发之日起执行。”</w:t>
            </w:r>
          </w:p>
        </w:tc>
        <w:tc>
          <w:tcPr>
            <w:tcW w:w="1200"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与省政府规章相抵触</w:t>
            </w:r>
          </w:p>
        </w:tc>
        <w:tc>
          <w:tcPr>
            <w:tcW w:w="2730" w:type="dxa"/>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海南省行政规范性文件制定与备案规定》第二十条、《海南省规范性文件制定与备案登记规定》第二十一条分别规定，行政规范性文件应当自公布之日起30日以后施行；但因保障国家安全、重大公共利益的需要，或者公布后不立即施行将有碍法律、法规、规章和政策执行的除外。该规范性文件不存在除外情形，故应当严格适用前述规定，自公布之日起30日以后施行。</w:t>
            </w:r>
          </w:p>
        </w:tc>
        <w:tc>
          <w:tcPr>
            <w:tcW w:w="1785"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建议将施行日期改为：“自公布之日起30日以后施行”。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65" w:type="dxa"/>
            <w:tcBorders>
              <w:bottom w:val="single" w:color="auto" w:sz="4" w:space="0"/>
            </w:tcBorders>
            <w:vAlign w:val="center"/>
          </w:tcPr>
          <w:p>
            <w:pPr>
              <w:jc w:val="left"/>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黑体" w:cs="黑体"/>
                <w:sz w:val="24"/>
                <w:szCs w:val="24"/>
                <w:lang w:val="en-US" w:eastAsia="zh-CN"/>
              </w:rPr>
              <w:t>三府规〔2019〕12号《三亚市人民政府关于海南西环既有铁路线路安全保护区三亚段有关事项的通告》</w:t>
            </w:r>
          </w:p>
        </w:tc>
        <w:tc>
          <w:tcPr>
            <w:tcW w:w="3375" w:type="dxa"/>
            <w:tcBorders>
              <w:bottom w:val="single" w:color="auto" w:sz="4" w:space="0"/>
            </w:tcBorders>
            <w:vAlign w:val="center"/>
          </w:tcPr>
          <w:p>
            <w:pPr>
              <w:widowControl/>
              <w:jc w:val="both"/>
              <w:textAlignment w:val="center"/>
              <w:rPr>
                <w:rFonts w:hint="default"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1.</w:t>
            </w:r>
            <w:r>
              <w:rPr>
                <w:rFonts w:hint="eastAsia" w:ascii="Times New Roman" w:hAnsi="Times New Roman" w:eastAsia="仿宋" w:cs="仿宋"/>
                <w:b/>
                <w:bCs/>
                <w:i w:val="0"/>
                <w:color w:val="000000"/>
                <w:kern w:val="0"/>
                <w:sz w:val="22"/>
                <w:szCs w:val="22"/>
                <w:u w:val="none"/>
                <w:lang w:val="en-US" w:eastAsia="zh-CN"/>
              </w:rPr>
              <w:t>第七条第二款</w:t>
            </w:r>
            <w:r>
              <w:rPr>
                <w:rFonts w:hint="eastAsia" w:ascii="Times New Roman" w:hAnsi="Times New Roman" w:eastAsia="仿宋" w:cs="仿宋"/>
                <w:i w:val="0"/>
                <w:color w:val="000000"/>
                <w:kern w:val="0"/>
                <w:sz w:val="22"/>
                <w:szCs w:val="22"/>
                <w:u w:val="none"/>
                <w:lang w:val="en-US" w:eastAsia="zh-CN"/>
              </w:rPr>
              <w:t>：“在铁路线路路堤坡脚、路堑坡顶、铁路桥梁外侧起向外各1000米范围内，以及在铁路隧道上方中心线两侧各1000米范围内，确需从事露天采矿、采石或者爆破作业的，应当与铁路运输企业协商一致，依照有关法律法规的规定报县级以上地方人民政府有关部门批准，采取安全防护措施后方可进行。”</w:t>
            </w:r>
          </w:p>
          <w:p>
            <w:pPr>
              <w:widowControl/>
              <w:numPr>
                <w:ilvl w:val="0"/>
                <w:numId w:val="0"/>
              </w:numPr>
              <w:jc w:val="both"/>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b w:val="0"/>
                <w:bCs w:val="0"/>
                <w:i w:val="0"/>
                <w:color w:val="000000"/>
                <w:kern w:val="0"/>
                <w:sz w:val="22"/>
                <w:szCs w:val="22"/>
                <w:u w:val="none"/>
                <w:lang w:val="en-US" w:eastAsia="zh-CN"/>
              </w:rPr>
              <w:t>2.</w:t>
            </w:r>
            <w:r>
              <w:rPr>
                <w:rFonts w:hint="eastAsia" w:ascii="Times New Roman" w:hAnsi="Times New Roman" w:eastAsia="仿宋" w:cs="仿宋"/>
                <w:b/>
                <w:bCs/>
                <w:i w:val="0"/>
                <w:color w:val="000000"/>
                <w:kern w:val="0"/>
                <w:sz w:val="22"/>
                <w:szCs w:val="22"/>
                <w:u w:val="none"/>
                <w:lang w:val="en-US" w:eastAsia="zh-CN"/>
              </w:rPr>
              <w:t>第八条第二款</w:t>
            </w:r>
            <w:r>
              <w:rPr>
                <w:rFonts w:hint="eastAsia" w:ascii="Times New Roman" w:hAnsi="Times New Roman" w:eastAsia="仿宋" w:cs="仿宋"/>
                <w:i w:val="0"/>
                <w:color w:val="000000"/>
                <w:kern w:val="0"/>
                <w:sz w:val="22"/>
                <w:szCs w:val="22"/>
                <w:u w:val="none"/>
                <w:lang w:val="en-US" w:eastAsia="zh-CN"/>
              </w:rPr>
              <w:t>：“在前款规定范围外，高速铁路线路经过的区域属于地面沉降区域，抽取地下水危及高速铁路安全的，应当设置地下水禁止开采区或者限制开采区，具体范围由铁路监督管理机构会同县级以上地方人民政府水行政主管部门提出方案，报省、自治区、直辖市人民政府批准并公告。”</w:t>
            </w:r>
          </w:p>
          <w:p>
            <w:pPr>
              <w:widowControl/>
              <w:numPr>
                <w:ilvl w:val="0"/>
                <w:numId w:val="0"/>
              </w:numPr>
              <w:ind w:left="0" w:leftChars="0" w:firstLine="0" w:firstLineChars="0"/>
              <w:jc w:val="both"/>
              <w:textAlignment w:val="center"/>
              <w:rPr>
                <w:rFonts w:hint="eastAsia" w:ascii="Times New Roman" w:hAnsi="Times New Roman" w:eastAsia="仿宋" w:cs="仿宋"/>
                <w:i w:val="0"/>
                <w:color w:val="000000"/>
                <w:kern w:val="0"/>
                <w:sz w:val="22"/>
                <w:szCs w:val="22"/>
                <w:u w:val="none"/>
                <w:lang w:val="en-US" w:eastAsia="zh-CN"/>
              </w:rPr>
            </w:pPr>
          </w:p>
        </w:tc>
        <w:tc>
          <w:tcPr>
            <w:tcW w:w="1200" w:type="dxa"/>
            <w:tcBorders>
              <w:bottom w:val="single" w:color="auto" w:sz="4" w:space="0"/>
            </w:tcBorders>
            <w:vAlign w:val="center"/>
          </w:tcPr>
          <w:p>
            <w:pPr>
              <w:widowControl/>
              <w:jc w:val="center"/>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条文表述不规范</w:t>
            </w:r>
          </w:p>
        </w:tc>
        <w:tc>
          <w:tcPr>
            <w:tcW w:w="2730" w:type="dxa"/>
            <w:tcBorders>
              <w:bottom w:val="single" w:color="auto" w:sz="4" w:space="0"/>
            </w:tcBorders>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本规范性文件直接引用了《铁路安全管理条例》的条文，不存在违反上位法的情形，但《铁路安全管理条例》作为行政法规，具有一般性、普遍适用性，制定机关在制定规范性文件时，应当在上位法规定基础上，结合本市实际情况，而不是照搬照抄上位法的规定。</w:t>
            </w:r>
          </w:p>
          <w:p>
            <w:pPr>
              <w:widowControl/>
              <w:jc w:val="center"/>
              <w:textAlignment w:val="center"/>
              <w:rPr>
                <w:rFonts w:hint="eastAsia" w:ascii="Times New Roman" w:hAnsi="Times New Roman" w:eastAsia="仿宋" w:cs="仿宋"/>
                <w:i w:val="0"/>
                <w:color w:val="000000"/>
                <w:kern w:val="0"/>
                <w:sz w:val="22"/>
                <w:szCs w:val="22"/>
                <w:u w:val="none"/>
                <w:lang w:val="en-US" w:eastAsia="zh-CN"/>
              </w:rPr>
            </w:pPr>
          </w:p>
          <w:p>
            <w:pPr>
              <w:widowControl/>
              <w:jc w:val="center"/>
              <w:textAlignment w:val="center"/>
              <w:rPr>
                <w:rFonts w:hint="eastAsia" w:ascii="Times New Roman" w:hAnsi="Times New Roman" w:eastAsia="仿宋" w:cs="仿宋"/>
                <w:i w:val="0"/>
                <w:color w:val="000000"/>
                <w:kern w:val="0"/>
                <w:sz w:val="22"/>
                <w:szCs w:val="22"/>
                <w:u w:val="none"/>
                <w:lang w:val="en-US" w:eastAsia="zh-CN"/>
              </w:rPr>
            </w:pPr>
          </w:p>
          <w:p>
            <w:pPr>
              <w:widowControl/>
              <w:jc w:val="center"/>
              <w:textAlignment w:val="center"/>
              <w:rPr>
                <w:rFonts w:hint="eastAsia" w:ascii="Times New Roman" w:hAnsi="Times New Roman" w:eastAsia="仿宋" w:cs="仿宋"/>
                <w:i w:val="0"/>
                <w:color w:val="000000"/>
                <w:kern w:val="0"/>
                <w:sz w:val="22"/>
                <w:szCs w:val="22"/>
                <w:u w:val="none"/>
                <w:lang w:val="en-US" w:eastAsia="zh-CN"/>
              </w:rPr>
            </w:pPr>
          </w:p>
          <w:p>
            <w:pPr>
              <w:widowControl/>
              <w:jc w:val="both"/>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1785" w:type="dxa"/>
            <w:tcBorders>
              <w:bottom w:val="single" w:color="auto" w:sz="4" w:space="0"/>
            </w:tcBorders>
            <w:vAlign w:val="center"/>
          </w:tcPr>
          <w:p>
            <w:pPr>
              <w:widowControl/>
              <w:jc w:val="left"/>
              <w:textAlignment w:val="center"/>
              <w:rPr>
                <w:rFonts w:hint="default"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建议改为：1.“…报区级以上地方人民政府有关部门批准，采取安全防护措施后方可进行。”（省略部分自行补充完整）</w:t>
            </w:r>
          </w:p>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2.“…具体范围由铁路监督管理机构会同区级以上地方人民政府水行政主管部门提出方案，报省人民政府批准并公告。”（省略部分自行补充完整）</w:t>
            </w:r>
          </w:p>
          <w:p>
            <w:pPr>
              <w:widowControl/>
              <w:jc w:val="left"/>
              <w:textAlignment w:val="center"/>
              <w:rPr>
                <w:rFonts w:hint="eastAsia" w:ascii="Times New Roman" w:hAnsi="Times New Roman" w:eastAsia="仿宋" w:cs="仿宋"/>
                <w:i w:val="0"/>
                <w:color w:val="000000"/>
                <w:kern w:val="0"/>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三府〔2019〕11号《三亚市海上巴士成本与收入规制实施办法》</w:t>
            </w:r>
          </w:p>
        </w:tc>
        <w:tc>
          <w:tcPr>
            <w:tcW w:w="3375" w:type="dxa"/>
            <w:vMerge w:val="restart"/>
            <w:vAlign w:val="center"/>
          </w:tcPr>
          <w:p>
            <w:pPr>
              <w:jc w:val="center"/>
              <w:rPr>
                <w:rFonts w:ascii="Times New Roman" w:hAnsi="Times New Roman"/>
              </w:rPr>
            </w:pPr>
            <w:r>
              <w:rPr>
                <w:rFonts w:hint="eastAsia" w:ascii="Times New Roman" w:hAnsi="Times New Roman" w:eastAsia="仿宋" w:cs="仿宋"/>
                <w:i w:val="0"/>
                <w:color w:val="000000"/>
                <w:kern w:val="0"/>
                <w:sz w:val="22"/>
                <w:szCs w:val="22"/>
                <w:u w:val="none"/>
                <w:lang w:val="en-US" w:eastAsia="zh-CN"/>
              </w:rPr>
              <w:t>施行日期条款</w:t>
            </w:r>
          </w:p>
        </w:tc>
        <w:tc>
          <w:tcPr>
            <w:tcW w:w="1200" w:type="dxa"/>
            <w:vMerge w:val="restart"/>
            <w:vAlign w:val="center"/>
          </w:tcPr>
          <w:p>
            <w:pPr>
              <w:widowControl/>
              <w:jc w:val="left"/>
              <w:textAlignment w:val="center"/>
              <w:rPr>
                <w:rFonts w:ascii="Times New Roman" w:hAnsi="Times New Roman"/>
              </w:rPr>
            </w:pPr>
            <w:r>
              <w:rPr>
                <w:rFonts w:hint="eastAsia" w:ascii="Times New Roman" w:hAnsi="Times New Roman" w:eastAsia="仿宋" w:cs="仿宋"/>
                <w:i w:val="0"/>
                <w:color w:val="000000"/>
                <w:kern w:val="0"/>
                <w:sz w:val="22"/>
                <w:szCs w:val="22"/>
                <w:u w:val="none"/>
                <w:lang w:val="en-US" w:eastAsia="zh-CN"/>
              </w:rPr>
              <w:t>与省政府规章相抵触</w:t>
            </w:r>
          </w:p>
        </w:tc>
        <w:tc>
          <w:tcPr>
            <w:tcW w:w="2730" w:type="dxa"/>
            <w:vMerge w:val="restart"/>
            <w:vAlign w:val="center"/>
          </w:tcPr>
          <w:p>
            <w:pPr>
              <w:widowControl/>
              <w:jc w:val="left"/>
              <w:textAlignment w:val="center"/>
              <w:rPr>
                <w:rFonts w:ascii="Times New Roman" w:hAnsi="Times New Roman"/>
              </w:rPr>
            </w:pPr>
            <w:r>
              <w:rPr>
                <w:rFonts w:hint="eastAsia" w:ascii="Times New Roman" w:hAnsi="Times New Roman" w:eastAsia="仿宋" w:cs="仿宋"/>
                <w:i w:val="0"/>
                <w:color w:val="000000"/>
                <w:kern w:val="0"/>
                <w:sz w:val="22"/>
                <w:szCs w:val="22"/>
                <w:u w:val="none"/>
                <w:lang w:val="en-US" w:eastAsia="zh-CN"/>
              </w:rPr>
              <w:t>《海南省行政规范性文件制定与备案规定》第二十条、《海南省规范性文件制定与备案登记规定》第二十一条分别规定，行政规范性文件应当自公布之日起30日以后施行；但因保障国家安全、重大公共利益的需要，或者公布后不立即施行将有碍法律、法规、规章和政策执行的除外。该规范性文件不存在除外情形，故应当严格适用前述规定，自公布之日起30日以后施行。</w:t>
            </w:r>
          </w:p>
        </w:tc>
        <w:tc>
          <w:tcPr>
            <w:tcW w:w="1785" w:type="dxa"/>
            <w:vMerge w:val="restart"/>
            <w:vAlign w:val="center"/>
          </w:tcPr>
          <w:p>
            <w:pPr>
              <w:widowControl/>
              <w:jc w:val="left"/>
              <w:textAlignment w:val="center"/>
              <w:rPr>
                <w:rFonts w:ascii="Times New Roman" w:hAnsi="Times New Roman"/>
              </w:rPr>
            </w:pPr>
            <w:r>
              <w:rPr>
                <w:rFonts w:hint="eastAsia" w:ascii="Times New Roman" w:hAnsi="Times New Roman" w:eastAsia="仿宋" w:cs="仿宋"/>
                <w:i w:val="0"/>
                <w:color w:val="000000"/>
                <w:kern w:val="0"/>
                <w:sz w:val="22"/>
                <w:szCs w:val="22"/>
                <w:u w:val="none"/>
                <w:lang w:val="en-US" w:eastAsia="zh-CN"/>
              </w:rPr>
              <w:t>建议将施行日期改为：“自公布之日起30日以后施行”。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三府〔2019〕19号《三亚市消费投诉信息公示办法》</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三府〔2019〕75号《警卫任务专项工作补助管理办法（试行）》</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三府〔2019〕91号《三亚市人民政府关于加强烧纸焚香祭祀管理的通告》</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三府〔2019〕148号《三亚市建账监督管理办法》</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1965" w:type="dxa"/>
            <w:vAlign w:val="center"/>
          </w:tcPr>
          <w:p>
            <w:pPr>
              <w:jc w:val="left"/>
              <w:rPr>
                <w:rFonts w:hint="eastAsia" w:ascii="Times New Roman" w:hAnsi="Times New Roman" w:eastAsia="黑体" w:cs="黑体"/>
                <w:sz w:val="24"/>
                <w:szCs w:val="24"/>
                <w:lang w:val="en-US" w:eastAsia="zh-CN"/>
              </w:rPr>
            </w:pPr>
            <w:r>
              <w:rPr>
                <w:rFonts w:hint="eastAsia" w:ascii="Times New Roman" w:hAnsi="Times New Roman" w:eastAsia="黑体" w:cs="黑体"/>
                <w:sz w:val="24"/>
                <w:szCs w:val="24"/>
                <w:lang w:val="en-US" w:eastAsia="zh-CN"/>
              </w:rPr>
              <w:t>三府〔2019〕150号《三亚市法人和自然人信用修复管理办法（试行）》</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center"/>
          </w:tcPr>
          <w:p>
            <w:pPr>
              <w:jc w:val="left"/>
              <w:rPr>
                <w:rFonts w:hint="eastAsia" w:ascii="Times New Roman" w:hAnsi="Times New Roman" w:eastAsia="黑体" w:cs="黑体"/>
                <w:sz w:val="24"/>
                <w:szCs w:val="24"/>
                <w:lang w:val="en-US" w:eastAsia="zh-CN"/>
              </w:rPr>
            </w:pPr>
            <w:r>
              <w:rPr>
                <w:rFonts w:hint="eastAsia" w:ascii="Times New Roman" w:hAnsi="Times New Roman" w:eastAsia="黑体" w:cs="黑体"/>
                <w:sz w:val="24"/>
                <w:szCs w:val="24"/>
                <w:lang w:val="en-US" w:eastAsia="zh-CN"/>
              </w:rPr>
              <w:t>三府〔2018〕272号《三亚市农村宅基地管理办法》</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1965" w:type="dxa"/>
            <w:vAlign w:val="top"/>
          </w:tcPr>
          <w:p>
            <w:pPr>
              <w:jc w:val="left"/>
              <w:rPr>
                <w:rFonts w:hint="eastAsia" w:ascii="Times New Roman" w:hAnsi="Times New Roman" w:eastAsia="黑体" w:cs="黑体"/>
                <w:sz w:val="24"/>
                <w:szCs w:val="24"/>
                <w:lang w:val="en-US" w:eastAsia="zh-CN"/>
              </w:rPr>
            </w:pPr>
            <w:r>
              <w:rPr>
                <w:rFonts w:hint="eastAsia" w:ascii="Times New Roman" w:hAnsi="Times New Roman" w:eastAsia="黑体" w:cs="黑体"/>
                <w:sz w:val="24"/>
                <w:szCs w:val="24"/>
                <w:lang w:val="en-US" w:eastAsia="zh-CN"/>
              </w:rPr>
              <w:t>三府规〔2019〕1号《三亚市海智计划工作站建设管理办法</w:t>
            </w:r>
          </w:p>
          <w:p>
            <w:pPr>
              <w:jc w:val="left"/>
              <w:rPr>
                <w:rFonts w:ascii="Times New Roman" w:hAnsi="Times New Roman"/>
              </w:rPr>
            </w:pPr>
            <w:r>
              <w:rPr>
                <w:rFonts w:hint="eastAsia" w:ascii="Times New Roman" w:hAnsi="Times New Roman" w:eastAsia="黑体" w:cs="黑体"/>
                <w:sz w:val="24"/>
                <w:szCs w:val="24"/>
                <w:lang w:val="en-US" w:eastAsia="zh-CN"/>
              </w:rPr>
              <w:t>（试行）》</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三府规〔2019〕2号《三亚市高端学术活动资助办法（试行）》</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三府规〔2019〕3号《三亚市旅游产业发展专项资金管理暂行办法》</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三府规〔2019〕4号《三亚市院士专项经费管理办法》</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rPr>
                <w:rFonts w:ascii="Times New Roman" w:hAnsi="Times New Roman"/>
              </w:rPr>
            </w:pPr>
            <w:r>
              <w:rPr>
                <w:rFonts w:hint="eastAsia" w:ascii="Times New Roman" w:hAnsi="Times New Roman" w:eastAsia="黑体" w:cs="黑体"/>
                <w:sz w:val="24"/>
                <w:szCs w:val="24"/>
                <w:lang w:val="en-US" w:eastAsia="zh-CN"/>
              </w:rPr>
              <w:t>三府规〔2019〕11号《三亚市促进旅游营销奖励办法》</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bl>
    <w:p>
      <w:pPr>
        <w:jc w:val="left"/>
        <w:rPr>
          <w:rFonts w:hint="default" w:ascii="Times New Roman" w:hAnsi="Times New Roman" w:eastAsia="仿宋" w:cs="仿宋"/>
          <w:sz w:val="32"/>
          <w:szCs w:val="32"/>
          <w:lang w:val="en-US" w:eastAsia="zh-CN"/>
        </w:rPr>
      </w:pPr>
    </w:p>
    <w:p/>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等线" w:hAnsi="等线" w:eastAsia="等线" w:cs="黑体"/>
        <w:kern w:val="2"/>
        <w:sz w:val="18"/>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8240;mso-width-relative:page;mso-height-relative:page;" fillcolor="#FFFFFF" filled="f" o:preferrelative="t"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lpqj6kAQAAPgMAAA4AAABkcnMvZTJvRG9jLnhtbK1SS27bMBDdB+gd&#10;CO5rSl4UhmA5CBAkKFA0AdIcgKZIiwB/GNKWfJoA3eUQOU7Ra3RIS06a7IpuqJkh9ea9N7O+HK0h&#10;BwlRe9fSelFRIp3wnXa7lj7+uPm8oiQm7jpuvJMtPcpILzefLtZDaOTS9950EgiCuNgMoaV9SqFh&#10;LIpeWh4XPkiHl8qD5QlT2LEO+IDo1rBlVX1hg4cugBcyRqxeny7ppuArJUW6UyrKRExLkVsqJ5Rz&#10;m0+2WfNmBzz0Wkw0+D+wsFw7bHqGuuaJkz3oD1BWC/DRq7QQ3jKvlBayaEA1dfVOzUPPgyxa0JwY&#10;zjbF/wcrvh/ugegOZ0eJ4xZH9Pvp+dfLT1Jnb4YQG3zyEO5hyiKGWeiowOYvSiBj8fN49lOOiQgs&#10;1qvlalWh7QLv5gRx2OvvAWK6ld6SHLQUcGDFR374FtPp6fwkd3P+RhuDdd4Y91cBMXOFZcYnjjlK&#10;43aciG99d0SpA866pQ6XkRLz1aGVeS3mAOZgOwf7AHrXI7W68Irhap+QROGWO5xgp8Y4pKJuWqi8&#10;BW/z8up17T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paao+pAEAAD4DAAAOAAAAAAAA&#10;AAEAIAAAAB8BAABkcnMvZTJvRG9jLnhtbFBLBQYAAAAABgAGAFkBAAA1BQAAAAA=&#1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D083AB"/>
    <w:multiLevelType w:val="singleLevel"/>
    <w:tmpl w:val="F8D083AB"/>
    <w:lvl w:ilvl="0" w:tentative="0">
      <w:start w:val="3"/>
      <w:numFmt w:val="decimal"/>
      <w:lvlText w:val="%1."/>
      <w:lvlJc w:val="left"/>
      <w:pPr>
        <w:tabs>
          <w:tab w:val="left" w:pos="312"/>
        </w:tabs>
      </w:pPr>
    </w:lvl>
  </w:abstractNum>
  <w:abstractNum w:abstractNumId="1">
    <w:nsid w:val="571AE58C"/>
    <w:multiLevelType w:val="singleLevel"/>
    <w:tmpl w:val="571AE58C"/>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B68D6"/>
    <w:rsid w:val="4B3B68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三亚市直属党政机关单位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2020-05-09T13:42:00Z</dcterms:created>
  <dc:creator>WPS_1527855515</dc:creator>
  <cp:lastModifiedBy>WPS_1527855515</cp:lastModifiedBy>
  <dcterms:modified xsi:type="dcterms:W3CDTF">2020-05-09T13:44:13Z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